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– konsultacje na uczelni 15 godz.
•	kolokwia - 2 godz.
2) Praca własna studenta – 30 godz., w tym:
•	przygotowanie do kolokwiów zaliczeniowych - 5 godz.
•	opracowanie projektu- 25 godz.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•	wykład - 15 godz.
•	projekt – konsultacje na uczelni –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•	projekt – konsultacje na uczelni - 15 godz.
•	opracowanie projektu- 25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 2. Analiza wymagań. Komunikacja z nie-informatykami, wspólne definicje, problemy. Schematy funkcjonalności 3. Modelowanie obiektowe - UML. Modele statyczne i dynamiczne systemu. Diagramy statyczne, ich związek z rzeczywistym kodem aplikacji. Generowanie kodu na podstawie diagramu i odwrotnie. Podstawowe narzędzia modelowania 4. Diagramy dynamiczne - zachowanie aplikacji. Maszyna stanów, przejścia między stanami. Diagramy UML opisujące dynamikę.  5. Wzorce projektowe - co to jest i dlaczego warto je stosować. Omówienie podstawowych wzorców wraz z przykładowymi implementacjami.  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 zespołowym,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IP_1ST_W01: </w:t>
      </w:r>
    </w:p>
    <w:p>
      <w:pPr/>
      <w:r>
        <w:rPr/>
        <w:t xml:space="preserve">Posiada uporządkowaną i podbudowaną wiedzę o procesie powstawania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I.P6S_UW,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2026-10-16T19:33:59+02:00</dcterms:created>
  <dcterms:modified xsi:type="dcterms:W3CDTF">2026-10-16T19:33:59+02:00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