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http://zib.mchtr.pw.edu.pl/?Dydaktyka:Przedmioty_obowi%B1zkowe:Biomechanika_in%BFynierska_%28BIOME%29</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BMI_W01: </w:t>
      </w:r>
    </w:p>
    <w:p>
      <w:pPr/>
      <w:r>
        <w:rPr/>
        <w:t xml:space="preserve">Zna anatomiczne i fizjologiczne podłoże ruchu organizmów żywych.</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BMI_W02: </w:t>
      </w:r>
    </w:p>
    <w:p>
      <w:pPr/>
      <w:r>
        <w:rPr/>
        <w:t xml:space="preserve">Zna podstawy opisu i modelowania ruchu człowieka</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K_W03, K_W08</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BMI_W03: </w:t>
      </w:r>
    </w:p>
    <w:p>
      <w:pPr/>
      <w:r>
        <w:rPr/>
        <w:t xml:space="preserve">Zna najważniejsze metody badania narządu ruchu</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K_W05, K_W08, K_W09, K_W12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BMI_W04: </w:t>
      </w:r>
    </w:p>
    <w:p>
      <w:pPr/>
      <w:r>
        <w:rPr/>
        <w:t xml:space="preserve">Ma podstawową wiedzę na temat wspomagania narządu ruchu, w tym elektrostymulacji oraz systematyki i zasad ortotyki i protetyki</w:t>
      </w:r>
    </w:p>
    <w:p>
      <w:pPr>
        <w:spacing w:before="60"/>
      </w:pPr>
      <w:r>
        <w:rPr/>
        <w:t xml:space="preserve">Weryfikacja: </w:t>
      </w:r>
    </w:p>
    <w:p>
      <w:pPr>
        <w:spacing w:before="20" w:after="190"/>
      </w:pPr>
      <w:r>
        <w:rPr/>
        <w:t xml:space="preserve">Pytania egzaminacyjne i zaliczenie ćwiczeń laboratoryjnych</w:t>
      </w:r>
    </w:p>
    <w:p>
      <w:pPr>
        <w:spacing w:before="20" w:after="190"/>
      </w:pPr>
      <w:r>
        <w:rPr>
          <w:b/>
          <w:bCs/>
        </w:rPr>
        <w:t xml:space="preserve">Powiązane charakterystyki kierunkowe: </w:t>
      </w:r>
      <w:r>
        <w:rPr/>
        <w:t xml:space="preserve">K_W06, K_W05</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BMI_U01: </w:t>
      </w:r>
    </w:p>
    <w:p>
      <w:pPr/>
      <w:r>
        <w:rPr/>
        <w:t xml:space="preserve">Potrafi wykonać podstawowe pomiary/badania narządu ruchu człowieka – elektryczne i mechaniczne </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K_U01, K_U07, K_U12</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BMI_U02: </w:t>
      </w:r>
    </w:p>
    <w:p>
      <w:pPr/>
      <w:r>
        <w:rPr/>
        <w:t xml:space="preserve">Potrafi zaproponować model odpowiedni dla badanej czynności ruchowej</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K_U01, K_U07</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BMI_K01: </w:t>
      </w:r>
    </w:p>
    <w:p>
      <w:pPr/>
      <w:r>
        <w:rPr/>
        <w:t xml:space="preserve">Uczy się pracy w zespole podczas grupowego wykonywania zajęć laboratoryjnych i przygotowywania sprawozdań</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p>
      <w:pPr>
        <w:keepNext w:val="1"/>
        <w:spacing w:after="10"/>
      </w:pPr>
      <w:r>
        <w:rPr>
          <w:b/>
          <w:bCs/>
        </w:rPr>
        <w:t xml:space="preserve">Charakterystyka BMI_K02: </w:t>
      </w:r>
    </w:p>
    <w:p>
      <w:pPr/>
      <w:r>
        <w:rPr/>
        <w:t xml:space="preserve">Zdobywa świadomość wpływu rozwiązań technicznych z zakresu biomechaniki na jakość życia pacjenta</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2024-04-20T12:12:34+02:00</dcterms:created>
  <dcterms:modified xsi:type="dcterms:W3CDTF">2024-04-20T12:12:34+02:00</dcterms:modified>
</cp:coreProperties>
</file>

<file path=docProps/custom.xml><?xml version="1.0" encoding="utf-8"?>
<Properties xmlns="http://schemas.openxmlformats.org/officeDocument/2006/custom-properties" xmlns:vt="http://schemas.openxmlformats.org/officeDocument/2006/docPropsVTypes"/>
</file>