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- 6
c) projektowanie - 9
d) konsultacje - 2
e) zaliczenie - 2
2) Praca własna studenta 73, w tym:
a) zapoznanie się z literaturą - 20
b) wykonanie projektu - 40
c) przygotowanie się do zaliczenia - 11
suma: 120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laboratorium - 6
c) projektowanie - 9
d) konsultacje - 2
e) zaliczanie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6
b) projektowanie 9
b) wykonanie projektu - 40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 i dynamiki układów, 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serwo-napędu pneumatycznego i walczaka parowego. Punkt pracy modelu, charakterystyka statyczna, linearyzacja modelu, analiza dynamiki w punkcie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i zaliczenia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  310 str. K. Janiszowski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MISOM_1: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Zdaje egzamin, przygotowuje oraz broni wyniki wykonanego projektu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MISOM_2: </w:t>
      </w:r>
    </w:p>
    <w:p>
      <w:pPr/>
      <w:r>
        <w:rPr/>
        <w:t xml:space="preserve">Posiada wiedzę i zrozumienie stosowania mechnizmów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wyników opracowanego projektu zwłaszcza przy wykorzystaniu gotowych bloków dynamicznych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MISOM_3: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efektywne ww mechanizmów przy badaniu współdziałania zespołów konstrukcji mechanicznych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MISOMU_1: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obrona przedstawionego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MISOMS_1: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Wykorzystywanie wspólne optymalnych czasowo podejść do badanego zaganienia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2026-07-12T00:30:22+02:00</dcterms:created>
  <dcterms:modified xsi:type="dcterms:W3CDTF">2026-07-12T00:30:22+02:00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