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egzaminu - 25, razem - 50;
Ćwiczenia: liczba godzin według planu studiów - 15, zapoznanie ze wskazaną literaturą - 5, przygotowanie do kolokwium - 5,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ćwiczenia 15 - 30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lokalizacji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C1 - Obliczenia hydrauliczne sieci przewodów instalacji nawiewnej; 
C2 - Obliczenia hydrauliczne sieci przewodów instalacji wywiewnej;
C3 - Graficzne odwzorowanie instalacji wentylacyjnych.</w:t>
      </w:r>
    </w:p>
    <w:p>
      <w:pPr>
        <w:keepNext w:val="1"/>
        <w:spacing w:after="10"/>
      </w:pPr>
      <w:r>
        <w:rPr>
          <w:b/>
          <w:bCs/>
        </w:rPr>
        <w:t xml:space="preserve">Metody oceny: </w:t>
      </w:r>
    </w:p>
    <w:p>
      <w:pPr>
        <w:spacing w:before="20" w:after="190"/>
      </w:pPr>
      <w:r>
        <w:rPr/>
        <w:t xml:space="preserve">Planowane są dwa terminy egzaminu w sesji letniej i jeden w sesji jesiennej. W przypadku nie zaliczenia egzaminu, student ma prawo przystąpienia do jednego terminu poprawkowego.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ustalaniu ocen z kolokwium oraz egzaminu stosowana będzie następująca skala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kolokwium (C1-C3)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Egzamin, kolokwium (C1-C3)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U13_03: </w:t>
      </w:r>
    </w:p>
    <w:p>
      <w:pPr/>
      <w:r>
        <w:rPr/>
        <w:t xml:space="preserve">Potrafi dokonać krytycznej analizy sytemu wentylacji i klimatyzacji oraz ocenić isteniejące rozwiązanie w zakresie kosztó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2026-03-01T11:31:48+01:00</dcterms:created>
  <dcterms:modified xsi:type="dcterms:W3CDTF">2026-03-01T11:31:48+01:00</dcterms:modified>
</cp:coreProperties>
</file>

<file path=docProps/custom.xml><?xml version="1.0" encoding="utf-8"?>
<Properties xmlns="http://schemas.openxmlformats.org/officeDocument/2006/custom-properties" xmlns:vt="http://schemas.openxmlformats.org/officeDocument/2006/docPropsVTypes"/>
</file>