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ekonomika wykonawstwa instalacji wodociągowych i kanalizacyjnych (IN1A_37/01)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Karolina Wójcicka/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IN1A_37/01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zaliczenia - 5, razem - 25;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 = 0,4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wiedzą o tradycyjnych i  nowoczesnych technologiach  robót sanitarnych z zakresu wewnętrznych instalacji wodociągowych i kanalizacyjnych.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Instalacje wodociągowo-kanalizacyjne z punktu widzenia technologii, wykonawstwa i organizacji robót.
W2 - Podstawy prawne stosowania materiałów instalacyjnych i armatury w budownictwie.
W3 - Materiały, armatura i urządzenia stosowane w instalacjach wodociągowo-kanalizacyjnych – wady i zalety poszczególnych rozwiązań.
W4 - Kryteria wyboru rozwiązań materiałowych i konkretnej technologii na szybkość i jakość wykonania instalacji oraz jej koszt.
W5 - Współczesne trendy w wykonawstwie instalacji wodociągowych i kanalizacyjnych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zaliczenie tematyki wykładowej polegające na uzyskaniu pozytywnej oceny z kolokwium przeprowadzonego na końcu semestru (termin kolokwium  ustalony  ze studentami na pierwszych zajęciach).
Warunki zaliczenia kolokwium są następujące:
60%  – ocena dostateczna,
80%  – ocena dobra,
100%  - ocena bardzo dobra.
W przypadku niezaliczenia kolokwium istnieje możliwość wyznaczenia terminu poprawkowego w terminie ustalonym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1.Warunki techniczne wykonania i odbioru robót budowlano-montażowych. Tom II - Instalacje sanitarne i przemysłowe. Arkady. Warszawa 1988.                                              
 2.Furtak L., Rabiej St. i in.: Warunki techniczne wykonania i odbioru rurociągów z tworzyw sztucznych. Wydawnictwo Polskiej Korporacji Techniki Sanitarnej, Grzewczej, Gazowej i Klimatyzacji. Warszwa 1996.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o trendach rozwojowych w zakresie nowych technologii stosowanych przy wykonawstwie instalacji wodociągowo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zaliczeniowe (W5).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W08_02: </w:t>
      </w:r>
    </w:p>
    <w:p>
      <w:pPr/>
      <w:r>
        <w:rPr/>
        <w:t xml:space="preserve">Ma podstawową wiedzę dotyczącą bezpieczeństwa i higieny pracy przy wykonywaniu instalacji wodociągowo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zaliczeniowe (W1, W2, W4)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robót sanitarnych z zakresu wewnętrznych instalacji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(W1-W4)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katalogów (katalog nakładów rzeczowych , informatory cen), zasobów internetowych , czasopism branżowych, stron producentów w odniesieniu do potrzeb procesu wykonawstwa i kosztorysowania instalacji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(W1-W5), dyskusja w ramach wykładu.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 w celu uzyskania informacji i wiedzy o nowych technologiach i materiałach stosowanych w zakresie instalacji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(W1-W5), dyskusja w ramach wykładu.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określić priorytety oraz identyfikować i rozstrzygać problemy związane z realizacją robót sanitarnych w zakresie instalacji wodociągowo-kanalizacyjnych.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2026-08-01T00:39:33+02:00</dcterms:created>
  <dcterms:modified xsi:type="dcterms:W3CDTF">2026-08-01T00:39:33+02:00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