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25
3. Godziny pracy samodzielnej studenta w ramach przygotowania do zajęć oraz opracowania sprawozdań, projektów, prezentacji, raportów, prac domowych etc.	15
4. Godziny pracy samodzielnej studenta w ramach przygotowania do egzaminu, sprawdzianu, zaliczenia etc.	75
Sumaryczny nakład pracy studenta	205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2. Euklidesowa przestrzeń rzeczywista wielowymiarowa i pojęcia topologiczne w tej przestrzeni. Ciągi liczbowe w euklidesowej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Ćwiczenia audytoryjne
1. Badanie zbieżności szeregów liczbowych. Badanie zbieżności ciągów i szeregów funkcyjnych. Wyznaczanie promienia zbieżności i zakresu zbieżności szeregu potęgowego. Rozwijanie funkcji w szeregi potęgowe i trygonometryczne.
2. Obliczanie granic ciągów w euklidesowej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funkcji. Wyznaczanie wartości max. i min. globalnie funkcji na zbiorze zwartym.
4. Obliczanie całek podwójnych po obszarach normalnych we współrzędnych kartezjańskich i biegunowych. Obliczanie całek potrójnych po obszarach normalnych we współrzędnych kartezjańskich , walcowych i sferycznych. Zastosowania całek podwójnych i potrójnych w zagadnieniach geometrycznych i fizycznych. Wyznaczanie całek krzywoliniowych.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w:t>
      </w:r>
    </w:p>
    <w:p>
      <w:pPr>
        <w:keepNext w:val="1"/>
        <w:spacing w:after="10"/>
      </w:pPr>
      <w:r>
        <w:rPr>
          <w:b/>
          <w:bCs/>
        </w:rPr>
        <w:t xml:space="preserve">Metody oceny: </w:t>
      </w:r>
    </w:p>
    <w:p>
      <w:pPr>
        <w:spacing w:before="20" w:after="190"/>
      </w:pPr>
      <w:r>
        <w:rPr/>
        <w:t xml:space="preserve">1. egzamin pisemny
2. egzamin ustny
3. kolokwium
4. praca domowa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Liczba wykładów 15 po 3 godz. lek., a więc w sumie 45 godz. lek. Zajęcia odbywają się zdalnie na platformie MS Teams. Wymagane są kamery.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(pisemnie) i teoretycznej (ustnie). Warunkiem koniecznym i dostatecznym zdania egzaminu sesyjnego jest zaliczenie obu jego części. Podczas egzaminu sesyjnego nie można korzystać z  pomocy innych osób, nie można konsultować treści.  Kamery muszą być włączone, a egzamin jest nagrywany. 
Ćwiczenia audytoryjne:
Liczba ćwiczeń audytoryjnych – 15 po 3 godz. lek., a więc w sumie po 45 godz. lek. Zajęcia są prowadzone zdalnie na platformie MS Teams. Wymagane są kamery. Ćwiczenia zaliczane są na podstawie wyników 2 kolokwiów (pisemnych prac kontrolnych, w formie zadań otwartych do samodzielnego rozwiązania), na wyznaczonych terminach. Termin kolokwium ustala kierownik przedmiotu z co najmniej dwutygodniowym wyprzedzeniem. Zakres treści kolokwialnych precyzuje kierownik przedmiotu; wówczas zadania przygotowuje i ocenia prowadzący ćwiczenia. Podczas kolokwium Student nie może korzystać z pomocy innych osób, nie może konsultować treści. Kamery muszą być włączone, a kolokwium jest nagrywane. Każda praca kolokwialna podlega ustnej obronie u kierownika przedmiotu lub prowadzącego ćwiczenia. Wszystko jawnie, przy włączonych kamerach. Kolokwiów nie można poprawiać na bieżąco. Jeden termin poprawkowy przysługuje osobom, które nie zaliczyły ćwiczeń, na końcu semestru. Nieobecność na ćwiczeniach można odrobić na odpowiednich zajęciach w innej grupie.
Każde kolokwium ćwiczeniowe jest na 20 pkt. Zaliczenie na max. 40 punktów. 
Ocena z ćwiczeń w zależności od liczby uzyskanych punktów: [21;24]-3,0; [25;28]-3,5; [29;32]-4,0; [33;36]-4,5; [37;40]-5,0.
Część zadaniowa egzaminu sesyjnego - w sumie można uzyskać max. 30 punktów; zalicza co najmniej 16 punktów. Część teoretyczna egzaminu sesyjnego -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Ocena zintegrowana z przedmiotu w zależności od liczby uzyskanych punktów: [51;60]-3,0; [61-70]-3,5; [71;80]-4,0; [81;90]-4,5; [91;100]-5,0.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w zakresie szeregów funkcyjnych, rachunku różniczkowego i całkowego oraz równań różniczkowych zwyczajnych i ich zastosowania w zagadnieniach inżynierii chemicznej.</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P6U_U,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2024-05-19T11:46:01+02:00</dcterms:created>
  <dcterms:modified xsi:type="dcterms:W3CDTF">2024-05-19T11:46:01+02:00</dcterms:modified>
</cp:coreProperties>
</file>

<file path=docProps/custom.xml><?xml version="1.0" encoding="utf-8"?>
<Properties xmlns="http://schemas.openxmlformats.org/officeDocument/2006/custom-properties" xmlns:vt="http://schemas.openxmlformats.org/officeDocument/2006/docPropsVTypes"/>
</file>