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 prac domowych.
Warunkiem zaliczenia przedmiotu jest uzyskanie pozytywnych ocen z kolokwium oraz z zadań domowych. Ostateczna ocena jest średnią z części wykładowej oraz ćwiczeniowej i może być jeszcze podwyższona po uwzględnieniu aktywności studenta na zajęciach.
W roku akademickim 2019/2020 z uwagi na konieczność pracy w semestrze za pomocą systemów zdalnych końcowe kolokwium zaliczeniowe odbędzie się także w sposób zdalny.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ML.NS580_K1: </w:t>
      </w:r>
    </w:p>
    <w:p>
      <w:pPr/>
      <w:r>
        <w:rPr/>
        <w:t xml:space="preserve">Student jest świadom potrzeby ciągłego dokształcania się,co jest wymuszone przez dynamicznie zmieniający się obszar jakim jest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ML.NS580_K2: </w:t>
      </w:r>
    </w:p>
    <w:p>
      <w:pPr/>
      <w:r>
        <w:rPr/>
        <w:t xml:space="preserve">Student ma świadomość wpływu na środowisko, jakie wywiera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2024-05-19T08:39:38+02:00</dcterms:created>
  <dcterms:modified xsi:type="dcterms:W3CDTF">2024-05-19T08:39:38+02:00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