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Komory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Gieras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godz.,
b) konsultacje - 3 godz.
2. Praca własna studenta - 20 godzin, w tym:
a) nauka do kolokwium 1-go -10 godz.,
b) nauka do kolokwium 2-go - 10 godz.
Razem - 53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liczba godzin kontaktowych - 33, w tym:
a) wykład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projektowania komór spalania silników tłokowych i turbinowych pod kątem odpowiedniej organizacji procesów spalania.  Po zaliczeniu przedmiotu powinien umieć przeprowadzić obliczenia  aerodynamiczne  i cieplne typowej komory spalania silnika turbinowego, a także wykonać wstępny projekt całej komory spalania lotniczego silnika turbinowego z uwzględnieniem zasad ograniczania emisji toksycznych produktów spalania.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organizowania procesów spalania w komorach spalania silników ZI i ZS.
2.Zasady działania komór spalania silników lotniczych.
3.Typy i rodzaje komór spalania silników lotniczych.
4.Podstawy aerodynamiki komór spalania - ogólne zasady kształtowania przepływu czynnika w komorach spalania.
5.Rodzaje dyfuzorów - budowa i podstawy projektowania dyfuzorów.
6.Metody stabilizacji płomienia w komorach spalania.
7.Metody rozpylania paliwa - badania i dobór wtryskiwaczy.
8.Proces dyfuzji i spalanie kropel paliwa.
9.Podstawy organizacji zapłonu i spalania.
10.Pętle stabilnego zapłonu i spalania.
11.Podstawy modelowanie procesu spalania w komorach.
12.Rura żarowa  - obliczenia cieplne i wytrzymałościowe.
13.Metody ograniczania emisji toksycznych produktów spalania.
14.Podstawy obliczeń i projektowania komory spalania.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1, kolokwium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Gieras, „Komory spalania silników turbinowych – organizacja procesów spalania”,  Oficyna Wydawnicza Politechniki Warszawskiej, Warszawa, 2010.
2. Pr. zbiorowa pod red. M. Orkisza, „Turbinowe silniki lotnicze w ujęciu problemowym”, Polskie Naukowo-Techniczne Towarzystwo Eksploatacyjne”, Lublin.
3. R. Łapucha, „Komory spalania silników turbinowo-odrzutowych”, Biblioteka Naukowa Instytutu Lotnictwa, Warszawa.
4. H. Lefebvre, „Gas Turbine Combustion”, Taylor &amp; Francis, USA.
5. J. B. Heywood, „Internal Combustion Engine Fundamentals”, McGrawHill Book Co., New York.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ML.NS640_W1: </w:t>
      </w:r>
    </w:p>
    <w:p>
      <w:pPr/>
      <w:r>
        <w:rPr/>
        <w:t xml:space="preserve">							Student zna podstawy procesu spalania mieszanin paliwowo-powietrznych.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ML.NS640_W2: </w:t>
      </w:r>
    </w:p>
    <w:p>
      <w:pPr/>
      <w:r>
        <w:rPr/>
        <w:t xml:space="preserve">							Student zna podstawy aerodynamiki komór spalania silników turboodrzutowych.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ML.NS640_W3: </w:t>
      </w:r>
    </w:p>
    <w:p>
      <w:pPr/>
      <w:r>
        <w:rPr/>
        <w:t xml:space="preserve">							Student zna podstawowe metody organizacji procesów spalania w komorze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ML.NS640_U1: </w:t>
      </w:r>
    </w:p>
    <w:p>
      <w:pPr/>
      <w:r>
        <w:rPr/>
        <w:t xml:space="preserve">							Student potrafi przeprowadzić obliczenia gazodynamiczne komory spalania silnika turboodrzutowego.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ML.NS640_U2: </w:t>
      </w:r>
    </w:p>
    <w:p>
      <w:pPr/>
      <w:r>
        <w:rPr/>
        <w:t xml:space="preserve">							Student potrafi zaprojektować dyfuzor wlotowy do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ML.NS640_U3: </w:t>
      </w:r>
    </w:p>
    <w:p>
      <w:pPr/>
      <w:r>
        <w:rPr/>
        <w:t xml:space="preserve">							Student potrafi zaprojektować wstępną  aerodynamikę typowej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ML.NS640_U4: </w:t>
      </w:r>
    </w:p>
    <w:p>
      <w:pPr/>
      <w:r>
        <w:rPr/>
        <w:t xml:space="preserve">							Student potrafi wykonać projekt wstępny geometrii całej komory spalania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2024-05-13T08:36:12+02:00</dcterms:created>
  <dcterms:modified xsi:type="dcterms:W3CDTF">2024-05-13T08:36:12+02:00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