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Analiza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Gepner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50, w tym:
a)	wykład – 15 godz.
b)	laboratorium – 30 godz.
c)	konsultacje – 5 godz.
Praca własna studenta – 50 godzin, w tym:
a)	30 godz. – przygotowywanie się do laboratoriów i wykładów,
b)	20 godz. – przygotowanie zadania obliczeniowego.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 – 15  godz.,
b)	laboratorium – 30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- 70 godzin pracy studenta, w tym: 
a) udział w ćwiczeniach laboratoryjnych - 30 godzin;
b) przygotowywanie się do laboratorium i wykonanie zadania obliczeniowego - 40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równań różniczkowych cząstkowych, znajomość metod numerycznych, wiedza na temat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symulacji równań ruchu płynów, poznanie zaawansowanych możliwości wykorzystania pakietów komercyjnych.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Zagadnienie własne w zastosowaniu do metod numerycznych, metody iteracyjne rozwiązywania wielkich układów liniowych i nieliniowych (metoda wielu siatek), hiperboliczne układy równań różniczkowych cząstkowych i metody ich dyskretyzacji i rozwiązywania, nieliniowe równania hiperboliczne, symulacja przepływów z falami uderzeniowymi, tw. Laxa i Godunowa.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punktowa: 40% laboratorium (ocena pracy studenta podczas trwania zajęć) , 60%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Zalecana literatura: 
1. Hirsch, Charles, Numerical computation of internal and external flows, 2007.
 2. Versteeg, Henk Kaarle, An introduction to computational fluid dynamics, 2007.
 Dodatkowa literatura: - materiały na stronie http://c-cfd.meil.pw.edu.pl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ML.NK489_W1: </w:t>
      </w:r>
    </w:p>
    <w:p>
      <w:pPr/>
      <w:r>
        <w:rPr/>
        <w:t xml:space="preserve">							Zna cechy zagadnienia na wartości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ML.NK489_W2: </w:t>
      </w:r>
    </w:p>
    <w:p>
      <w:pPr/>
      <w:r>
        <w:rPr/>
        <w:t xml:space="preserve">							Zna sposoby rozwiązywania układów RRC typu hiperbolicznego.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ML.NK489_W3: </w:t>
      </w:r>
    </w:p>
    <w:p>
      <w:pPr/>
      <w:r>
        <w:rPr/>
        <w:t xml:space="preserve">							Zna metody dyskretyzacji dla RRC typu hiperbolicznego.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ML.NK489_U1: </w:t>
      </w:r>
    </w:p>
    <w:p>
      <w:pPr/>
      <w:r>
        <w:rPr/>
        <w:t xml:space="preserve">							Potrafi wykorzystując pakiety komercyjne rozwiązać złożone zagadnienia cieplno-przepływowe.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MiBM2_U11, MiBM2_U13, 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ML.NK489_U2: </w:t>
      </w:r>
    </w:p>
    <w:p>
      <w:pPr/>
      <w:r>
        <w:rPr/>
        <w:t xml:space="preserve">							Potrafi zanalizować przydatność metody numerycznej do rozwiązania RRC.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ML.NK489_U3: </w:t>
      </w:r>
    </w:p>
    <w:p>
      <w:pPr/>
      <w:r>
        <w:rPr/>
        <w:t xml:space="preserve">							Potrafi wykorzystać programować zaawansowane funkcje pakietów komercyjnych.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ML.NK489_K1: </w:t>
      </w:r>
    </w:p>
    <w:p>
      <w:pPr/>
      <w:r>
        <w:rPr/>
        <w:t xml:space="preserve">														Ma świadomość konieczności ciągłego powiększania swoich kompetencji, szczególnie w zakresie wykorzystania komercyjnych programów symulacyjnych i  umiejętności krytycznej oceny uzyskanych wyników.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2026-02-08T14:39:08+01:00</dcterms:created>
  <dcterms:modified xsi:type="dcterms:W3CDTF">2026-02-08T14:39:08+01:00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