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indywidualny upoważniony przez Radę Wydziału do kierowania pracami dyplomowymi.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500, w tym: 
1. Liczba godzin wymagających bezpośredniego kontaktu z opiekunem: 200.
a) spotkania i konsultacje - 199 godz. 
b) zaliczenie przedmiotu - 1 godz. 
2. Liczba godzin pracy własnej: 300.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8 punktów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 rozwiązania postawionego zadania badawczego, - doboru literatury,  - wyboru metod rozwiązania,  -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MiBM2_U02, MiBM2_U05, MiBM2_U07, MiBM2_U17, MiBM2_U20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Potrafi samodzielnie rozwiązać proste zadanie naukowe.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MiBM2_U15, MiBM2_U16, MiBM2_U22, MiBM2_U23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ML.NW137_U5: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MiBM2_U03, MiBM2_U04, MiBM2_U07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	ML.NW137_K1: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ML.NW137_K4: </w:t>
      </w:r>
    </w:p>
    <w:p>
      <w:pPr/>
      <w:r>
        <w:rPr/>
        <w:t xml:space="preserve">Prawidłowo identyfikuje i rozstrzyga dylematy związane z wykonywaniem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ML.NW137_K5: </w:t>
      </w:r>
    </w:p>
    <w:p>
      <w:pPr/>
      <w:r>
        <w:rPr/>
        <w:t xml:space="preserve">Ma świadomość roli społecznej absolwenta uczelni technicznej, a zwłaszcza rozumie potrzebę formułowania i przekazywania społeczeństwu - m.in., poprzez środki masowego przekazu informacji i opinii dotyczących osiągnięć techniki i innych aspektów działalności inżyniera; podejmuje starania, aby przekazać takie informacje i opinie w sposób powszechnie zrozumiały,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ML.NW137_K2: </w:t>
      </w:r>
    </w:p>
    <w:p>
      <w:pPr/>
      <w:r>
        <w:rPr/>
        <w:t xml:space="preserve">Ma świadomość ważności i zrozumienie pozatechnicznych aspektów i skutków działalności inżynierskiej, w tym jej wpływu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ML.NW137_K3: </w:t>
      </w:r>
    </w:p>
    <w:p>
      <w:pPr/>
      <w:r>
        <w:rPr/>
        <w:t xml:space="preserve">Potrafi odpowiednio określić priorytety służące realizacji określonego przez siebie lub innych zadania.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2024-05-17T08:23:40+02:00</dcterms:created>
  <dcterms:modified xsi:type="dcterms:W3CDTF">2024-05-17T08:23:40+02:00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