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Future Power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- 35,  including:
a) attendance at the lectures- 30 hours;
b) consultancy meetings - 5 hours.
2) The number of hours of independent work of student – 25, including: 
•	systematic preparation for classes - 15 hours;
•	preparing for  test -10  hours.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credits –  number of hours that require the presence of a teacher - 35,  including:
a) attendance at the lectures - 30 hours;
b) consultancy meetings - 5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has a basic knowledge of the possible directions of energy development, including the legal and economic conditions.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Selected elements of the theory of energy conversion. Current trends in energy development. Technical and economic considerations. Overview of promising energy technologies (gas-steam systems, combustion techniques, gasification of fuels, fuel cells, nuclear reactors and fusion, etc..). Ecological determinants of energy.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scoring system includes the work of students in the class and test results are final.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ANS535_W01: </w:t>
      </w:r>
    </w:p>
    <w:p>
      <w:pPr/>
      <w:r>
        <w:rPr/>
        <w:t xml:space="preserve">Students should have basic knowledge on the advancements in energy industry.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2025-07-10T08:48:43+02:00</dcterms:created>
  <dcterms:modified xsi:type="dcterms:W3CDTF">2025-07-10T08:48:43+02:00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