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9 godz. laboratorium;
c) 2 godz. konsultacji.
2. Praca własna studenta - 
a) 25 godz. przygotowanie projektów;
b) 25 godz. - studiowanie literatury, przygotowanie się do kolokwiów.
Ogółem - 70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 Teoria powierzchni nośnej. Płaty o małym wydłużeniu i układy hybrydowe. Opływ płata przy dużych kątach natarcia, nieliniowe efekty aerodynamiczne. Przepływ transoniczny, podobieństwo transoniczne, skrzydło skośne. Opór falowy brył 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ZNK302_W3: </w:t>
      </w:r>
    </w:p>
    <w:p>
      <w:pPr/>
      <w:r>
        <w:rPr/>
        <w:t xml:space="preserve">Student posiada wiedzę odnośnie podstaw techniki laboratoryjnych pomiarów 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2024-05-11T23:48:09+02:00</dcterms:created>
  <dcterms:modified xsi:type="dcterms:W3CDTF">2024-05-11T23:48:09+02:00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