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laboratorium.
2) Praca własna studenta – 15 godzin, w tym:   
a) 10 godz. – bieżące przygotowywanie się studenta do ćwiczeń laboratoryjnych,
b) 5 godz. – przygotowywanie sprawozdania.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15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ćwiczenia  laboratoryjne  – 15 godz.
2) 10 godz. – przygotowywanie się do ćwiczeń laboratoryjnych
3) 5 godz. – opracowanie wyników, przygotowanie sprawozdania;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 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1150-MB000-ISP-0215_W01: </w:t>
      </w:r>
    </w:p>
    <w:p>
      <w:pPr/>
      <w:r>
        <w:rPr/>
        <w:t xml:space="preserve">Nabył wiedzę o metodach rozwiązywania zadań związanych z wdrożeniami zjawisk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1150-MB000-ISP-0215_U01: </w:t>
      </w:r>
    </w:p>
    <w:p>
      <w:pPr/>
      <w:r>
        <w:rPr/>
        <w:t xml:space="preserve">Potrafi przygotować opracowanie rozwiązania zadania obejmującego problematykę hydrauliki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1150-MB000-ISP-0215_U02: </w:t>
      </w:r>
    </w:p>
    <w:p>
      <w:pPr/>
      <w:r>
        <w:rPr/>
        <w:t xml:space="preserve">Jest przygotowany do pozyskiwania nowych informacji i do ich ceny w zakresie problematyki hydraulicznej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1150-MB000-ISP-0215_U03: </w:t>
      </w:r>
    </w:p>
    <w:p>
      <w:pPr/>
      <w:r>
        <w:rPr/>
        <w:t xml:space="preserve">Posiada umiejętności pisemnej i ustnej prezentacji swoich dokonań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1150-MB000-ISP-0215_U04: </w:t>
      </w:r>
    </w:p>
    <w:p>
      <w:pPr/>
      <w:r>
        <w:rPr/>
        <w:t xml:space="preserve">Nabył umiejętność samodzielnego pozyskiwania wiedzy w zakresie zagadnień hydraulicznych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1150-MB000-ISP-0215_U13: </w:t>
      </w:r>
    </w:p>
    <w:p>
      <w:pPr/>
      <w:r>
        <w:rPr/>
        <w:t xml:space="preserve">Jest przygotowany do prowadzenia pomiarów i symulacji komputerowej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T1A_U03, InzA_U02,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1150-MB000-ISP-0215_K01: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1150-MB000-ISP-0215_K02: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2024-05-18T14:28:05+02:00</dcterms:created>
  <dcterms:modified xsi:type="dcterms:W3CDTF">2024-05-18T14:28:05+02:00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