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T1A_W02, T1A_W07, InzA_W03</w:t>
      </w:r>
    </w:p>
    <w:p>
      <w:pPr>
        <w:keepNext w:val="1"/>
        <w:spacing w:after="10"/>
      </w:pPr>
      <w:r>
        <w:rPr>
          <w:b/>
          <w:bCs/>
        </w:rPr>
        <w:t xml:space="preserve">Efekt 1150-MB000-ISP-0303_W6: </w:t>
      </w:r>
    </w:p>
    <w:p>
      <w:pPr/>
      <w:r>
        <w:rPr/>
        <w:t xml:space="preserve">Zna zasady zapisu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T1A_U12, InzA_U06, T1A_U16, InzA_U06, T1A_U01, T1A_U16, 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2026-08-24T14:08:46+02:00</dcterms:created>
  <dcterms:modified xsi:type="dcterms:W3CDTF">2026-08-24T14:08:46+02:00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