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 w tym:
a) projekt – 45 godz.;
b) konsultacje – 5 godz.;
2) Praca własna studenta – 25 godz. w tym:
a) bieżące przygotowanie studenta do zajęć – 20 godz.,
b) studia literaturowe – 5 godz.,
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– 50 godz., w tym:
a) projekt – 45 godz.;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–  45 godz., w tym:
a) zajęcia projektowe – 45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wykładzie Podstaw Zapisu Konstrukcji.
Podstawowe umiejętności z zakresu Geometrii Wykreślnej. 
Podstawowa znajomość maszyn do obróbki skrawaniem i metod obróbki skrawaniem przedstawiona na Zajęcia warsztatowych.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Odręczne wykonanie (na papierze gładkim, ołówkiem) czterech szkiców na podstawie otrzymanych części maszynowych –tematy indywidualne,
Odwzorowanie w rzutach prostokątnych (na brystolu) i zwymiarowanie  podstawy łożyska ślizgowego –wykonanie tuszem w domu.
Wykonanie rysunków (na brystolu) na podstawie wcześniej wykonanych szkiców – dokończenie  tuszem lub ołówkiem w domu. 
Wykonanie (na brystolu, ołówkiem) rysunku aksonometrycznego (izometria) na podstawie wykonanego wcześniej rysunku wykonanego w rzutach prostokątnych.
Wykonanie ( na brystolu) rysunku śruby i nakrętki –tematy indywidualne.
Wykonanie (na brystolu) rysunku sprężyny –tematy indywidualne.
Wykonanie (na brystolu) rysunku koła zębatego walcowego – tematy indywidualne  - dokończenie tuszem w domu.
Wykonanie (na brystolu) rysunku koła zębatego stożkowego – tematy indywidualne - dokończenie tuszem w domu.
Wykonanie rysunku złożeniowego, rysunków wykonawczych i specyfikacji części prostego zespołu maszynowego (na kalce technicznej wykonanie tuszem).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projektowania jest uzyskanie pozytywnych ocen ze wszystkich wykonywanych prac, które są na bieżąco konsultowane, sprawdzane, poprawiane  i oceniane na każdych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Bajkowski: Podstawy zapisu konstrukcji. Warszawa: OWPW 2014.
2. T. Dobrzański: Rysunek techniczny maszynowy. Warszawa: WNT 2004.
3. J. Bajkowski: Rysunek techniczny –materiały do ćwiczeń projektowych.
4. J. Bajkowski, J. Bartkiewicz, J. Kozdra: Zbiór zadań z rysunku technicznego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1150-MB000-ISP-0117_W1: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1150-MB000-ISP-0117_W2: </w:t>
      </w:r>
    </w:p>
    <w:p>
      <w:pPr/>
      <w:r>
        <w:rPr/>
        <w:t xml:space="preserve">Zna i stosuje w praktyce porządkowe ogólne i szczególne zasady wymiarowania elementów maszyn i konstrukcji; zna podstawowe pojęcia dotyczące określania stanu struktury powierzchni materiału; zna pojęcie tolerancji wymiarów i pasowania części  i umie stosować je do wymiarowania przedmiotów.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1150-MB000-ISP-0117_W3: </w:t>
      </w:r>
    </w:p>
    <w:p>
      <w:pPr/>
      <w:r>
        <w:rPr/>
        <w:t xml:space="preserve">Ma wiedzę dotyczącą przedstawiania i wymiarowania łączników i połączeń rozłącznych (połączeń gwintowych, sworzniowych, wpustowych 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1150-MB000-ISP-0106_W4: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1150-MB000-ISP-0117_U1: </w:t>
      </w:r>
    </w:p>
    <w:p>
      <w:pPr/>
      <w:r>
        <w:rPr/>
        <w:t xml:space="preserve">Zna i 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1150-MB000-ISP-0117_U2: </w:t>
      </w:r>
    </w:p>
    <w:p>
      <w:pPr/>
      <w:r>
        <w:rPr/>
        <w:t xml:space="preserve">Ma praktyczną umiejętność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1150-MB000-ISP-0117_U3: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1150-MB000-ISP-0117_U5: </w:t>
      </w:r>
    </w:p>
    <w:p>
      <w:pPr/>
      <w:r>
        <w:rPr/>
        <w:t xml:space="preserve">Dobrze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1150-MB000-ISP-0117_U6: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1150-MB000-ISP-0106_K1: </w:t>
      </w:r>
    </w:p>
    <w:p>
      <w:pPr/>
      <w:r>
        <w:rPr/>
        <w:t xml:space="preserve">Potrafi pracować samodzielnie, ma świadomość odpowiedzialności za pracę,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2024-05-18T11:14:28+02:00</dcterms:created>
  <dcterms:modified xsi:type="dcterms:W3CDTF">2024-05-18T11:14:28+02:00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