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1150-MBWPI-ISP-0322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b)laboratorium – 15 godz.
c) konsultacje - 2 godz.;
d) sprawdzian - 1 godz.;
2) Praca własna studenta - 52 godzin, w tym:
a)	 6 godz. – bieżące przygotowywanie się studenta do wykładu i laboratorium;
b)	 10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b)laboratorium – 15 godz.
c) konsultacje - 2 godz.;
d)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unktów ECTS – 52 godz. w  tym:
a)	 6 godz. – bieżące przygotowywanie się studenta do wykładu i laboratorium;
b)	 10 godz. – studia literaturowe;
c)	 36 godz. – przygotowywanie zadań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1150-MBWPI-ISP-0322_W1: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keepNext w:val="1"/>
        <w:spacing w:after="10"/>
      </w:pPr>
      <w:r>
        <w:rPr>
          <w:b/>
          <w:bCs/>
        </w:rPr>
        <w:t xml:space="preserve">Efekt 1150-MBWPI-ISP-0322_W2: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T1A_W04, InzA_W04</w:t>
      </w:r>
    </w:p>
    <w:p>
      <w:pPr>
        <w:pStyle w:val="Heading3"/>
      </w:pPr>
      <w:bookmarkStart w:id="3" w:name="_Toc3"/>
      <w:r>
        <w:t>Profil ogólnoakademicki - umiejętności</w:t>
      </w:r>
      <w:bookmarkEnd w:id="3"/>
    </w:p>
    <w:p>
      <w:pPr>
        <w:keepNext w:val="1"/>
        <w:spacing w:after="10"/>
      </w:pPr>
      <w:r>
        <w:rPr>
          <w:b/>
          <w:bCs/>
        </w:rPr>
        <w:t xml:space="preserve">Efekt 1150-MBWPI-ISP-0322_U1: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T1A_U08,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1150-MBWPI-ISP-0322_K1: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2026-10-10T05:52:25+02:00</dcterms:created>
  <dcterms:modified xsi:type="dcterms:W3CDTF">2026-10-10T05:52:25+02:00</dcterms:modified>
</cp:coreProperties>
</file>

<file path=docProps/custom.xml><?xml version="1.0" encoding="utf-8"?>
<Properties xmlns="http://schemas.openxmlformats.org/officeDocument/2006/custom-properties" xmlns:vt="http://schemas.openxmlformats.org/officeDocument/2006/docPropsVTypes"/>
</file>