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elementów laminowanych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Bogumił Chiliński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 MBKCI-ISP-0321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48 godz., w tym:
•	wykład - 30 godz.;
•	laboratorium - 15 godz;
•	konsultacje – 1 godz.;
•	egzamin – 2 godz.
2) Praca własna studenta – 55 godz., w tym:  
•	studia literaturowe: 25 godz.
•	przygotowanie do zajęć: 15 godz.
•	przygotowanie do egzaminu: 15 godz.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– 46 godz., w tym:
•	wykład - 30 godz.;
•	laboratorium - 15 godz;
•	konsultacje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30 godz., w tym:
•	laboratorium - 15 godz.;
•	przygotowanie do zajęć: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mechaniki laminatów, kompozytów oraz struktur warstwowych. Nabycie przez studentów umiejętności wykonania podstawowych analiz laminowanych, kompozytowych oraz warstwowych struktur o prostej geometrii.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Wiadomości wstępne: rodzaje, właściwości i zastosowania kompozytów, laminaty, materiały anizotropowe, ortotropia.
2.	Właściwości warstwy ortotropowej: stan naprężenia, stan odkształcenia, równania konstytutywne.
3.	Właściwości wytrzymałościowe laminatu: założenia teorii laminatów cienkich, stan przemieszczeń, związki geometryczne, naprężenia i siły wewnętrzne, uproszczenia macierzy sztywności.
4.	Wytężenie laminatu: wytężenie materiału izotropowego, wytężenie warstwy ortotropowej, hipotezy wytężeniowe dla warstwy ortotropowej  w płaskim stanie naprężenia.
5.	Równania równowagi płyt laminowanych: przemieszczenia, warunki brzegowe.
6.	Jednowymiarowe zagadnienia płyt laminowanych: zginanie walcowe płyty, belki laminowane.
7.	Obliczenia wytrzymałościowe laminowanych płyt prostokątnych: przemieszczenia, wyboczenie, drgania swobodne.
Laboratorium:
1.	Statyczna próba rozciągania pręta cienkościennego - porównanie charakterystyk dla elementów wykonanych z metalu i laminatu.
2.	Wyboczenie prętów cienkościennych - porównanie charakterystyk dla elementów wykonanych z metalu i laminatu.
3.	Praca konstrukcji półskorupowych - praca w stanie pokrytycznym.
4.	Badanie częstotliwości drgań własnych jednostronnie utwierdzonej cienkościennej belki wykonanej z laminatu.
5.	Badanie częstotliwości drgań własnych cienkościennej belki wykonanej z laminatu zamocowanej przegubowo, jako belka z odciągiem.
6.	Porównanie stanów krytycznych wału stalowego i wału wykonanego z kompozytu węglowego.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- część pisemna i/lub odpowiedź ustna.
Laboratorium: Trzy sprawdziany oceniane zgodnie z obowiązującą skalą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Mechanika elementów laminowanych, Oficyna Wydaw. Politech. Warszawskiej, 1997, ISBN 8387012238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 MBKCI-ISP-0321_W1: </w:t>
      </w:r>
    </w:p>
    <w:p>
      <w:pPr/>
      <w:r>
        <w:rPr/>
        <w:t xml:space="preserve">Student posiada podstawową wiedzę o rodzajach, właściwościach i zastosowaniu kompozytów.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 MBKCI-ISP-0321_W2: </w:t>
      </w:r>
    </w:p>
    <w:p>
      <w:pPr/>
      <w:r>
        <w:rPr/>
        <w:t xml:space="preserve">Student posiada wiedzę o właściwościach wytrzymałościowych i równaniach konstytutywnych warstw ortotropowych. Zna równania równowagi płyt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 MBKCI-ISP-0321_W3: </w:t>
      </w:r>
    </w:p>
    <w:p>
      <w:pPr/>
      <w:r>
        <w:rPr/>
        <w:t xml:space="preserve">Student posiada wiedzę o założeniach teorii laminatów, podstawowych związkach geometrycznych występujących w laminatach, siłach wewnętrznych oraz wytężeniu laminatów. Zna założenia teorii laminatów cienkich. Zna podstawowe hipotezy wytężeniowe warstw ortotropowych..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keepNext w:val="1"/>
        <w:spacing w:after="10"/>
      </w:pPr>
      <w:r>
        <w:rPr>
          <w:b/>
          <w:bCs/>
        </w:rPr>
        <w:t xml:space="preserve">Efekt 1150- MBKCI-ISP-0321_W4: </w:t>
      </w:r>
    </w:p>
    <w:p>
      <w:pPr/>
      <w:r>
        <w:rPr/>
        <w:t xml:space="preserve">Student rozumie zagadnienia związane z wpływem anizotropii na postacie własne, częstotliwości drgań własnych i siły krytyczne.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 MBKCI-ISP-0321_U1: </w:t>
      </w:r>
    </w:p>
    <w:p>
      <w:pPr/>
      <w:r>
        <w:rPr/>
        <w:t xml:space="preserve">Student potrafi przeprowadzić analizę stanu naprężeń o odkształceń warstwy ortotropowej.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 MBKCI-ISP-0321_U2: </w:t>
      </w:r>
    </w:p>
    <w:p>
      <w:pPr/>
      <w:r>
        <w:rPr/>
        <w:t xml:space="preserve">Potrafi przeprowadzić podstawowe analizy wytrzymałościowe dla płyt i belek laminowanych.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 MBKCI-ISP-0321_U3: </w:t>
      </w:r>
    </w:p>
    <w:p>
      <w:pPr/>
      <w:r>
        <w:rPr/>
        <w:t xml:space="preserve">Student potrafi zbadać wpływem anizotropii na postacie własne, częstotliwości drgań własnych i siły krytyczne. Potrafi zastosować odpowiednie metody pomiarowe adekwatne do postawionego zadania. Potrafi dokonać selekcji przydatnych informacji o badanym obiekcie dla realizacji określonego zadania. Umie porównać wyniki uzyskane eksperymentalnie z wynikami teoretycznymi.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2024-05-18T20:03:14+02:00</dcterms:created>
  <dcterms:modified xsi:type="dcterms:W3CDTF">2024-05-18T20:03:14+02:00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