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Orechwo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1180-MB000-ISP-0401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32,w tym:
a) wykład - 30 godz.;
b) konsultacje - 2 godz.;
2) Praca własna studenta - czytanie wskazanej literatury, przygotowanie do zajęć oraz sprawdzianu końcowego 18 godz.
3) RAZEM – 50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– liczba godzin kontaktowych - 32, w tym:
a) wykład 30 godz.;
b) konsultacje 20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funkcjonowania gospodarki rynkowej. Zapoznanie się z podstawowymi kategoriami i mechanizmami ekonomicznymi. Zdobycie umiejętności w zakresie interpretowania i oceny zjawisk ekonomiczno-społecznych.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i zakres ekonomii. Zasoby a potrzeby ludzkie.  Podstawowe kategorie ekonomiczne: popyt, podaż, cena równowagi, elastyczność popytu i podaży. Zjawisko konkurencji, struktury rynkowe funkcjonujące w gospodarce.  Zysk, przychód, koszty w przedsiębiorstwie. Rynek czynników produkcji. Rynek kapitałowy. Zjawisko bezrobocia i inflacji. Rola wzrostu i rozwoju gospodarczego. Ekonomiczna rola państwa w gospodarce.  Integracja gospodarcza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Wybrane rozdziały z: 1. red. S. Marciniak: Podstawy makro – i mikroekonomii,Wydawnictwo Naukowe PWN, Warszawa 2013. 2. red. R. Milewski: Podstawy ekonomii, Wydawnictwo Naukowe PWN,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1180-MB000-ISP-0401_W1: </w:t>
      </w:r>
    </w:p>
    <w:p>
      <w:pPr/>
      <w:r>
        <w:rPr/>
        <w:t xml:space="preserve">Zna ogólne zasady tworzenia i rozwoju form indywidualnej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1180-MB000-ISP-0401_U1: </w:t>
      </w:r>
    </w:p>
    <w:p>
      <w:pPr/>
      <w:r>
        <w:rPr/>
        <w:t xml:space="preserve">Student na podstawie przeprowadzonej analizy literatury potrafi zinterpretować i ocenić zjawiska ekonomiczno-społeczne.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KMiBM_U19,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T2A_U07, InzA_U05, 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2024-05-18T13:14:37+02:00</dcterms:created>
  <dcterms:modified xsi:type="dcterms:W3CDTF">2024-05-18T13:14:37+02:00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