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1050-00000-ISP-0122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1050-00000-ISP-0122_W02: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1050-00000-ISP-0122_W03: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1050-00000-ISP-0122_W04: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1050-00000-ISP-0122_W05: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pStyle w:val="Heading3"/>
      </w:pPr>
      <w:bookmarkStart w:id="3" w:name="_Toc3"/>
      <w:r>
        <w:t>Profil ogólnoakademicki - umiejętności</w:t>
      </w:r>
      <w:bookmarkEnd w:id="3"/>
    </w:p>
    <w:p>
      <w:pPr>
        <w:keepNext w:val="1"/>
        <w:spacing w:after="10"/>
      </w:pPr>
      <w:r>
        <w:rPr>
          <w:b/>
          <w:bCs/>
        </w:rPr>
        <w:t xml:space="preserve">Efekt 1050-00000-ISP-0122_U01: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2026-10-10T17:58:33+02:00</dcterms:created>
  <dcterms:modified xsi:type="dcterms:W3CDTF">2026-10-10T17:58:33+02:00</dcterms:modified>
</cp:coreProperties>
</file>

<file path=docProps/custom.xml><?xml version="1.0" encoding="utf-8"?>
<Properties xmlns="http://schemas.openxmlformats.org/officeDocument/2006/custom-properties" xmlns:vt="http://schemas.openxmlformats.org/officeDocument/2006/docPropsVTypes"/>
</file>