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1150-PE000-ISP-0234_W1: </w:t>
      </w:r>
    </w:p>
    <w:p>
      <w:pPr/>
      <w:r>
        <w:rPr/>
        <w:t xml:space="preserve">Posiada wiedzę (matematyka, fizyka) o budowie i zasadzie działania systemów mechatronicznych w pojazdach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motoryzacyjnym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1150-PE000-ISP-0234_W4: </w:t>
      </w:r>
    </w:p>
    <w:p>
      <w:pPr/>
      <w:r>
        <w:rPr/>
        <w:t xml:space="preserve">Posiada wiedzę pozwalająca na wykorzystanie czujników w układach sterowania i regulacji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1150-PE000-ISP-0234_U3: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1150-PE000-ISP-0234_U4: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2026-03-23T14:52:48+01:00</dcterms:created>
  <dcterms:modified xsi:type="dcterms:W3CDTF">2026-03-23T14:52:48+01:00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