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laboratorium.
2) Praca własna studenta – 20 godz.. bieżące przygotowywanie się studenta do ćwiczeń,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ECTS -30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 
a) udział w ćwiczeniach laboratoryjnych - 30 godz.;
b) przygotowywanie się do ćwiczeń laboratoryjnych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komputerów.
Znajomość języka Matlab na poziomie podstawowym (zakres przedmiotu Wprowadzenie do Inżynierii Programowania).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środowiska LabVIEW w zastosowaniach z zakresu sterowania i przetwarzania sygnałów.
Poznanie podstaw programowania sterowników mikroprocesorowych w graficznym języku programowania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I. Podstawy programowania w środowisku LabVIEW 
Wprowadzenie do programowania graficznego pozwalającego na budowę aplikacji pomiarowych, sterujących i testujących:
•	środowisko programistyczne,
	o	projekty,
	o	podstawowe struktury danych i operacje na nich oraz prezentacja graficzna wyników,
•	implementacja kodu programu (pętle, struktury warunkowe),
•	wprowadzenie do programowania modułowego,
•	techniki programowania.
Część II: Podstawy architektur oprogramowania sterowników
Zagadnienia:
1. Operacje we/wy w układach mikroprocesorowych
2. Podstawy programowania regulatorów
3. Podstawowe architektury aplikacji sterowników
4. Komunikacja pomiędzy elementami programu i techniki synchronizacji
5. Programowanie sieci wymiany danych (CAN, Ethernet) 
6. Wprowadzenie do układów rejestracji sygnałów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z laboratorium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LabVIEW Core 2 Course Manual. National Instruments.
•	LabVIEW Core 2 Exercises Manual. National Instruments
•	Chruściel M. LabVIEW w praktyce.Wydawnictwo  BTC. 2008
•	Tłaczała W. Środowisko LabVIEW w eksperymencie wspomaganym komputerowo WNT, 2014.
•	Rudra P. Matlab dla naukowców i inżynierów. PWN. 2016.
Materiały pomocnicze umieszczone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http://www.mechatronika.net.pl.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Obowiązkowa obecność na wszystkich zajęciach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1150-PE000-ISP-0352_W1: </w:t>
      </w:r>
    </w:p>
    <w:p>
      <w:pPr/>
      <w:r>
        <w:rPr/>
        <w:t xml:space="preserve">Posiada podstawową wiedzę w zakresie programowania sieci komunikacyjnych CAN i Ethernet.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1150-PE000-ISP-0352_W2: </w:t>
      </w:r>
    </w:p>
    <w:p>
      <w:pPr/>
      <w:r>
        <w:rPr/>
        <w:t xml:space="preserve">Zna języki programowania Matlab i LabVIEW w stopniu wystarczającym do budowy prostych programów służących do analizy i wymiany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1150-PE000-ISP-0352_U1: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T1A_U01, T1A_U16, T1A_U16</w:t>
      </w:r>
    </w:p>
    <w:p>
      <w:pPr>
        <w:keepNext w:val="1"/>
        <w:spacing w:after="10"/>
      </w:pPr>
      <w:r>
        <w:rPr>
          <w:b/>
          <w:bCs/>
        </w:rPr>
        <w:t xml:space="preserve">Efekt 1150-PE000-ISP-0352_U2: </w:t>
      </w:r>
    </w:p>
    <w:p>
      <w:pPr/>
      <w:r>
        <w:rPr/>
        <w:t xml:space="preserve">Potrafi samodzielnie pogłębiać wiedzę uzyskaną podczas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T1A_U01, T1A_U16, T1A_U16</w:t>
      </w:r>
    </w:p>
    <w:p>
      <w:pPr>
        <w:keepNext w:val="1"/>
        <w:spacing w:after="10"/>
      </w:pPr>
      <w:r>
        <w:rPr>
          <w:b/>
          <w:bCs/>
        </w:rPr>
        <w:t xml:space="preserve">Efekt 1150-PE000-ISP-0352_U3: </w:t>
      </w:r>
    </w:p>
    <w:p>
      <w:pPr/>
      <w:r>
        <w:rPr/>
        <w:t xml:space="preserve">Potrafi budować podstawowe programy w językach Matlab i LabVIEW służące do rejestracji i analizy sygnałów zgodnie z zadaną specyfikacją.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T1A_U01,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1150-PE000-ISP-0352_K1: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2024-05-19T06:04:15+02:00</dcterms:created>
  <dcterms:modified xsi:type="dcterms:W3CDTF">2024-05-19T06:04:15+02:00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