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1150-PE000-PEP-0334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1150-PE000-PEP-0334_W1: </w:t>
      </w:r>
    </w:p>
    <w:p>
      <w:pPr/>
      <w:r>
        <w:rPr/>
        <w:t xml:space="preserve">Posiada wiedzę o procesie doboru parametrów sterowania procesami fizycznymi pojazdów elektrycznych. </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1150-PE000-PEP-0334_W2: </w:t>
      </w:r>
    </w:p>
    <w:p>
      <w:pPr/>
      <w:r>
        <w:rPr/>
        <w:t xml:space="preserve">Posiada wiedzę o trendach rozwoju współczesnych układów sterowania wykorzystywanych w pojazdach, ze szczególnym uwzględnieniem pojazdów eklektycznych i hybrydowych</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1150-PE000-PEP-0334_U1: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K_U07, K_U16</w:t>
      </w:r>
    </w:p>
    <w:p>
      <w:pPr>
        <w:spacing w:before="20" w:after="190"/>
      </w:pPr>
      <w:r>
        <w:rPr>
          <w:b/>
          <w:bCs/>
        </w:rPr>
        <w:t xml:space="preserve">Powiązane efekty obszarowe: </w:t>
      </w:r>
      <w:r>
        <w:rPr/>
        <w:t xml:space="preserve">T1A_U08, T1A_U09, InzA_U01, InzA_U02, T1A_U12, T1A_U16</w:t>
      </w:r>
    </w:p>
    <w:p>
      <w:pPr>
        <w:pStyle w:val="Heading3"/>
      </w:pPr>
      <w:bookmarkStart w:id="4" w:name="_Toc4"/>
      <w:r>
        <w:t>Profil ogólnoakademicki - kompetencje społeczne</w:t>
      </w:r>
      <w:bookmarkEnd w:id="4"/>
    </w:p>
    <w:p>
      <w:pPr>
        <w:keepNext w:val="1"/>
        <w:spacing w:after="10"/>
      </w:pPr>
      <w:r>
        <w:rPr>
          <w:b/>
          <w:bCs/>
        </w:rPr>
        <w:t xml:space="preserve">Efekt 1150-PE000-PEP-0334_K1: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2024-05-19T07:20:08+02:00</dcterms:created>
  <dcterms:modified xsi:type="dcterms:W3CDTF">2024-05-19T07:20:08+02:00</dcterms:modified>
</cp:coreProperties>
</file>

<file path=docProps/custom.xml><?xml version="1.0" encoding="utf-8"?>
<Properties xmlns="http://schemas.openxmlformats.org/officeDocument/2006/custom-properties" xmlns:vt="http://schemas.openxmlformats.org/officeDocument/2006/docPropsVTypes"/>
</file>