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- 150 godz. projektu.
2) Praca własna studenta – 235 godz., w tym:
a) studia literaturowe: 10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ECTS – 150 godz. projektu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- 150 godzin;
b) praca nad przygotowaniem pracy dyplomowej – 225 godzin.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dyplomowej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 Ma uporządkowaną wiedzę w zakresie mechatroniki pojazdów oraz orientuje się w jej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KMchtr_U14,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T1A_U14, InzA_U06,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1150-MT000-ISP-0420_U3: </w:t>
      </w:r>
    </w:p>
    <w:p>
      <w:pPr/>
      <w:r>
        <w:rPr/>
        <w:t xml:space="preserve">Potrafi pozyskiwać informacje z literatury, bazy danych oraz innych źródeł w zakresie swojego kierunku studiów; potrafi ocenić działanie zasad i praw dotyczących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1150-MT000-ISP-0420_K1: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2024-05-19T14:30:58+02:00</dcterms:created>
  <dcterms:modified xsi:type="dcterms:W3CDTF">2024-05-19T14:30:58+02:00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