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- 24, w tym:
a)	wykład - 16 godz.;
b)	laboratorium - 8 godz.
2) Praca własna studenta - 76 godz, w tym 
a)	23 godz. – bieżące przygotowywanie się do laboratoriów i wykładów,
b)	28 godz. – studia literaturowe,
c)	15 godz. – opracowanie wyników, przygotowanie sprawozdań,
d)	10 godz. - przygotowywanie się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punktu ECTS – liczba godzin kontaktowych - 24, w tym:
a)	wykład - 16 godz.;
b)	laboratorium - 8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8 godz. - ćwiczenia laboratoryjne,
2)	17 godz. – przygotowywanie się do ćwiczeń laboratoryjnych,
3)	15 godz. – opracowanie wyników, przygotowanie sprawozdań,
4)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8-12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Koncentracja naprężeń w elementach konstrukcji stalowej.
Krzywa Wohlera.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+ 0.25*OL,
Wykład
Ocena za Wykład ustalana jest w oparciu o wyniki egzaminu przeprowadzanego w sesji egzaminacyjnej.
Laboratorium 
Pozytywną ocenę uzyskuje się po zaliczeniu wejściówki, poprawnie wykonanym ćwiczeniu i oddaniu sprawozdania.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do Laboratorium Konstrukcji Nośnych w skrypcie:
Konstrukcje Nośne - Laboratorium, Jakubczak, H. (red), OWPW, Warszawa, 2014.
1. S. Oziemski, W. Sobczykiewicz: Konstrukcje nośne maszyn roboczych ciężkich, Wydawnictwa PW, Warszawa, 1990.
2. Z. Dyląg, A. Jakubowicz, Z. Orłoś: Wytrzymałość materiałów, WNT Warszawa, 1996.
3. J. Rutecki: Cienkościenne konstrukcje nośne, WNT 1966.
4. J. Bródka, M. Łubiński: Lekkie konstrukcje stalowe, Arkady, Warszawa, 1961.
5. H. Frąckiewicz i inni: Węzły i połączenia konstrukcyjne. WNT, Warszawa, 1985.
6. J. Żmuda: Konstrukcje wsporcze dźwignic, PWN, Warszawa, 2013.
7. Kocańda, S., Szala, J.: Podstawy obliczeń zmęczeniowych, PWN, 1997.
8. W.D. Pilkey, D.F. Pilkey: Peterson’s Stress Concentration Factors, John Wiley &amp; Sons,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http://www.simr.pw.edu.pl/Instytut-Pojazdow-i-Maszyn-Roboczych/Dydaktyka/Przedmioty-obowiazkowe/Konstrukcje-nosne-zaoczne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1150-MBMRC-IZP-0321_W2: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1150-MBMRC-IZP-0321_U1: </w:t>
      </w:r>
    </w:p>
    <w:p>
      <w:pPr/>
      <w:r>
        <w:rPr/>
        <w:t xml:space="preserve">Umie zastosować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1150-MBMRC-IZP-0321_U2: </w:t>
      </w:r>
    </w:p>
    <w:p>
      <w:pPr/>
      <w:r>
        <w:rPr/>
        <w:t xml:space="preserve">Potrafi przewidzieć sposoby uszkodzenia konstrukcji nośnej,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1150-MBMRC-IZP-0321_U3: </w:t>
      </w:r>
    </w:p>
    <w:p>
      <w:pPr/>
      <w:r>
        <w:rPr/>
        <w:t xml:space="preserve">Potrafi wyznaczyć obciążenia konstrukcji nośnej, wymagane dla rozważanego sposobu uszkodzenia.h.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1150-MBMRC-IZP-0321_U4: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1150-MBMRC-IZP-0321_U5: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2024-05-17T09:26:57+02:00</dcterms:created>
  <dcterms:modified xsi:type="dcterms:W3CDTF">2024-05-17T09:26:57+02:00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