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1150-MT000-IZP-0119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16 godz. wykładu.
2) Praca własna studenta: 59 godzin, w tym:
a)	12 godzin na studia literaturowe, 
b)	25 godzin na przygotowanie do zajęć, 
c)	22  godzin na przygotowanie do sprawdzianów.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16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kolokwium obejmującego obróbkę plastyczną,
•	20 pkt. z kolokwium obejmującego odlewnictwo i spawalnictwo,  
•	25 pkt. z kolokwium obejmującego obróbkę skrawaniem i obrabiarki.
3.	W przypadku nie spełnienia warunków zaliczenia przedmiotu studentowi przysługuje prawo do poprawy wszystkich  lub tylko wybranych kolokwiów na zbiorczym kolokwium poprawkowym przeprowadzanym na ostatnich zajęciach. 
4.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KMchtr_W04</w:t>
      </w:r>
    </w:p>
    <w:p>
      <w:pPr>
        <w:spacing w:before="20" w:after="190"/>
      </w:pPr>
      <w:r>
        <w:rPr>
          <w:b/>
          <w:bCs/>
        </w:rPr>
        <w:t xml:space="preserve">Powiązane efekty obszarowe: </w:t>
      </w:r>
      <w:r>
        <w:rPr/>
        <w:t xml:space="preserve">T1A_W03, T1A_W04, InzA_W02</w:t>
      </w:r>
    </w:p>
    <w:p>
      <w:pPr>
        <w:keepNext w:val="1"/>
        <w:spacing w:after="10"/>
      </w:pPr>
      <w:r>
        <w:rPr>
          <w:b/>
          <w:bCs/>
        </w:rPr>
        <w:t xml:space="preserve">Efekt 1150-MT000-IZP-0119_W02: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1150-MT000-IZP-0119_W05: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KMchtr_W20, KMchtr_W21</w:t>
      </w:r>
    </w:p>
    <w:p>
      <w:pPr>
        <w:spacing w:before="20" w:after="190"/>
      </w:pPr>
      <w:r>
        <w:rPr>
          <w:b/>
          <w:bCs/>
        </w:rPr>
        <w:t xml:space="preserve">Powiązane efekty obszarowe: </w:t>
      </w:r>
      <w:r>
        <w:rPr/>
        <w:t xml:space="preserve">T1A_W06, T1A_W08, InzA_W03</w:t>
      </w:r>
    </w:p>
    <w:p>
      <w:pPr>
        <w:keepNext w:val="1"/>
        <w:spacing w:after="10"/>
      </w:pPr>
      <w:r>
        <w:rPr>
          <w:b/>
          <w:bCs/>
        </w:rPr>
        <w:t xml:space="preserve">Efekt 1150-MT000-IZP-0119_W06: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KMchtr_W05</w:t>
      </w:r>
    </w:p>
    <w:p>
      <w:pPr>
        <w:spacing w:before="20" w:after="190"/>
      </w:pPr>
      <w:r>
        <w:rPr>
          <w:b/>
          <w:bCs/>
        </w:rPr>
        <w:t xml:space="preserve">Powiązane efekty obszarowe: </w:t>
      </w:r>
      <w:r>
        <w:rPr/>
        <w:t xml:space="preserve">T1A_W02, T1A_W07, InzA_W02, InzA_W03</w:t>
      </w:r>
    </w:p>
    <w:p>
      <w:pPr>
        <w:keepNext w:val="1"/>
        <w:spacing w:after="10"/>
      </w:pPr>
      <w:r>
        <w:rPr>
          <w:b/>
          <w:bCs/>
        </w:rPr>
        <w:t xml:space="preserve">Efekt 1150-MT000-IZP-0119_W07: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KMchtr_W06</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1150-MT000-IZP-0119_U01: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keepNext w:val="1"/>
        <w:spacing w:after="10"/>
      </w:pPr>
      <w:r>
        <w:rPr>
          <w:b/>
          <w:bCs/>
        </w:rPr>
        <w:t xml:space="preserve">Efekt 1150-MT000-IZP-0119_U02: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1150-MT000-IZP-0119_U03: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pStyle w:val="Heading3"/>
      </w:pPr>
      <w:bookmarkStart w:id="4" w:name="_Toc4"/>
      <w:r>
        <w:t>Profil ogólnoakademicki - kompetencje społeczne</w:t>
      </w:r>
      <w:bookmarkEnd w:id="4"/>
    </w:p>
    <w:p>
      <w:pPr>
        <w:keepNext w:val="1"/>
        <w:spacing w:after="10"/>
      </w:pPr>
      <w:r>
        <w:rPr>
          <w:b/>
          <w:bCs/>
        </w:rPr>
        <w:t xml:space="preserve">Efekt 1150-MT000-IZP-0119_K01: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efekty kierunkowe: </w:t>
      </w:r>
      <w:r>
        <w:rPr/>
        <w:t xml:space="preserve">KMchtr_K03</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2025-04-04T21:32:19+02:00</dcterms:created>
  <dcterms:modified xsi:type="dcterms:W3CDTF">2025-04-04T21:32:19+02:00</dcterms:modified>
</cp:coreProperties>
</file>

<file path=docProps/custom.xml><?xml version="1.0" encoding="utf-8"?>
<Properties xmlns="http://schemas.openxmlformats.org/officeDocument/2006/custom-properties" xmlns:vt="http://schemas.openxmlformats.org/officeDocument/2006/docPropsVTypes"/>
</file>