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1150-MT000-IZP-0119</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16 godz. wykładu.
2) Praca własna studenta: 59 godzin,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KMchtr_W20, KMchtr_W21</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KMchtr_W05</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1150-MT000-IZP-0119_W07: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keepNext w:val="1"/>
        <w:spacing w:after="10"/>
      </w:pPr>
      <w:r>
        <w:rPr>
          <w:b/>
          <w:bCs/>
        </w:rPr>
        <w:t xml:space="preserve">Efekt 1150-MT000-IZP-0119_U02: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pStyle w:val="Heading3"/>
      </w:pPr>
      <w:bookmarkStart w:id="4" w:name="_Toc4"/>
      <w:r>
        <w:t>Profil ogólnoakademicki - kompetencje społeczne</w:t>
      </w:r>
      <w:bookmarkEnd w:id="4"/>
    </w:p>
    <w:p>
      <w:pPr>
        <w:keepNext w:val="1"/>
        <w:spacing w:after="10"/>
      </w:pPr>
      <w:r>
        <w:rPr>
          <w:b/>
          <w:bCs/>
        </w:rPr>
        <w:t xml:space="preserve">Efekt 1150-MT000-IZP-0119_K01: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KMchtr_K03</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2026-10-10T07:04:05+02:00</dcterms:created>
  <dcterms:modified xsi:type="dcterms:W3CDTF">2026-10-10T07:04:05+02:00</dcterms:modified>
</cp:coreProperties>
</file>

<file path=docProps/custom.xml><?xml version="1.0" encoding="utf-8"?>
<Properties xmlns="http://schemas.openxmlformats.org/officeDocument/2006/custom-properties" xmlns:vt="http://schemas.openxmlformats.org/officeDocument/2006/docPropsVTypes"/>
</file>