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1150-MT000-IZP-0302</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24, w tym: 
a) wykład – 8 godz.;
b) laboratorium – 8 godz.;
c) konsultacje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–20 godz., w tym:
1) uczestnictwo w zajęciach – 8 godz..
2)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z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1150-MT000-IZP-0302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T1A_W03, T1A_W04, T1A_W06, T1A_W08, InzA_W03, T1A_W03, T1A_W04, T1A_W07, InzA_W02</w:t>
      </w:r>
    </w:p>
    <w:p>
      <w:pPr>
        <w:keepNext w:val="1"/>
        <w:spacing w:after="10"/>
      </w:pPr>
      <w:r>
        <w:rPr>
          <w:b/>
          <w:bCs/>
        </w:rPr>
        <w:t xml:space="preserve">Efekt 1150-MT000-IZP-0302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1150-MT000-IZP-0302 K3: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2026-10-08T22:55:10+02:00</dcterms:created>
  <dcterms:modified xsi:type="dcterms:W3CDTF">2026-10-08T22:55:10+02:00</dcterms:modified>
</cp:coreProperties>
</file>

<file path=docProps/custom.xml><?xml version="1.0" encoding="utf-8"?>
<Properties xmlns="http://schemas.openxmlformats.org/officeDocument/2006/custom-properties" xmlns:vt="http://schemas.openxmlformats.org/officeDocument/2006/docPropsVTypes"/>
</file>