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na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zalet i wad rozwiązań technicznych, opis zasady działania ww., analiza korzyści, analiza zagadnień związanych z danym założeniem technicznym, prognozowanie, rozwiązywanie problemów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działania mechanizmów samochodowych oraz mechanizmów maszyn roboczych takich jak przekładnie, silniki. Analiza typu toubleshooting- potencjalne problemy z funkcjonowaniem, analiza problemów środowiskowych związanych z technologiami.
Korekta najczęstszych problemów gramatycznych związanych z użyciem czasów przyszłych i zwrotów oznaczających przyszłość.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analiza wad i zalet, opinion essay,  prognoza działania i potencjalnych problemów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1150-00000-IZP-0221_W1: </w:t>
      </w:r>
    </w:p>
    <w:p>
      <w:pPr/>
      <w:r>
        <w:rPr/>
        <w:t xml:space="preserve">Student potrafi zdefiniować przedmioty zasadę funkcjonowania mechanizmów i przedstawić jej wady oraz zalety. Potrafi nazwać problemy istniejące, a także i potencjalne związanie bezpośrednio z działaniem mechanizmu i z jego wpływem na otoczenie. Potrafi  stworzyć prognozę skuteczności/ wydajności/ opłacalności działania danej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1150-00000-IZP-0221_U1: </w:t>
      </w:r>
    </w:p>
    <w:p>
      <w:pPr/>
      <w:r>
        <w:rPr/>
        <w:t xml:space="preserve">Student potrafi zaprezentować rozwiązania techniczne i przedstawić swoja opinie na ich temat. Potrafi dokonać porównań oraz analizy wad i zalet danej technologii, ocenić jej skuteczność, wydajność oraz wpływ na otoczenie. Potraf dokonać prognozy efektów działania i uzasadnić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KMchtr_U04, KMChtr_U05, KMchtr_U07, KMchtr_U09, KMchtr_U14, KMchtr_U17, KMchtr_U21, KMchtr_U22, KMchtr_U23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T1A_U01, T1A_U06, T1A_U08, T1A_U09, InzA_U01, T1A_U09, T1A_U12, InzA_U03, InzA_U04, InzA_U05, T1A_U14, InzA_U06, T1A_U08, T1A_U09, T1A_U15, T1A_U07, T1A_U09, InzA_U08, T1A_U10, InzA_U03,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1150-00000-IZP-0221_K1: </w:t>
      </w:r>
    </w:p>
    <w:p>
      <w:pPr/>
      <w:r>
        <w:rPr/>
        <w:t xml:space="preserve">Student potrafi wyjaśniać zagadnienia z dziedziny mechaniki, potrafi przedstawiać ww. zagadnienia w sposób zorganizowany i porównywać je z innymi. Jest w stanie informować o różnych aspektach i skutkach działania naukowców i inżynierów. Potrafi zabierać głos w dyskusji i sprecyzować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2026-07-11T11:23:10+02:00</dcterms:created>
  <dcterms:modified xsi:type="dcterms:W3CDTF">2026-07-11T11:23:10+02:00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