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Buchowicz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1020-MT000-IZP-0109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- 10, w tym:
a) wykład - 9 godz.;
b) sprawdzian pisemny - 1 godz.;
2) Praca własna studenta – 40 godzin, w tym:
a)	25 godz. – rozwiązywanie zadań treningowych przygotowanych przez wykładowcę, studia literaturowe,
b)	15 godz. – przygotowywanie się studenta do sprawdzianu.
3) RAZEM –50 suma godzin pracy własnej i godzin kontaktowych.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punktów ECTS– liczba godzin kontaktowych - 10, w tym:
a) wykład - 9 godz.;
b) sprawdzian pisemny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studenta ogólnej wiedzy z wybranych działów chemii: ogólnej, nieorganicznej, fizycznej i organicznej. Student powinien umieć opisać i zinterpretować podstawowe zjawiska i przemiany chemiczne, a także rozwiązać proste zadania obliczeniowe z zakresu chemii. Student powinien rozumieć konieczność samodzielnego dokształcania się i podnoszenia poziomu swojej wiedzy.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pierwiastków i związków chemicznych. Wartościowość. Atomy i cząsteczki. Izotopy. Układ okresowy pierwiastków. Prawo okresowości. Metale i niemetale. Elektroujemność pierwiastków. Prawo zachowania masy. Prawo stałości składu chemicznego. Mol i masa molowa. Prawo Avogadra. Stechiometria reakcji. Obliczenia chemiczne. Mol i masa molowa. Podstawowe obliczenia stechiometryczne przemian chemicznych. Stężenia roztworów. Typy wiązań chemicznych. 
Elementy chemii fizycznej. Termochemia, reakcje egzoenergetyczne i endoenergetyczne. Termodynamiczny warunek równowagi chemicznej. Stała równowagi chemicznej. Kinetyka chemiczna, szybkość reakcji. Kataliza i katalizatory.
Elementy chemii nieorganicznej. Podział związków nieorganicznych na: tlenki, wodorki, wodorotlenki, kwasy, sole. Typy reakcji chemicznych: synteza, rozkład, wymiana, redoks. Stopień utlenienia.
Elementy chemii organicznej. Węglowodory nasycone i nienasycone. Szeregi homologiczne alkanów, alkenów, alkinów, węglowodory aromatyczne. Podstawowe reakcje węglowodorów (substytucja rodnikowa, substytucja elektrofilowa, addycja, eliminacja). Przerób ropy naftowej.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Bielański, Chemia ogólna i nieorganiczna, PWN, 1977.
•	W. Trzebiatowski, Chemia nieorganiczna, PWN, 1977.
•	W. Danikiewicz, Chemia organiczna, WSiP, 1995.
•	T. Drapała, Podstawy chemii, WSiP, 1992.
•	K. Pigoń, Z. Ruziewicz, Chemia fizyczna, PWN
•	Śliwa, Obliczenia Chemiczne. Zbiór zadań z chemii nieorganicznej i analitycznej wraz z podstawami teoretycznymi, PWN.
•	M. Dubiel, J. Pabian, Chemia Vademecum, Wydawnictwo Greg.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1020-MT000-IZP-0109_W1: </w:t>
      </w:r>
    </w:p>
    <w:p>
      <w:pPr/>
      <w:r>
        <w:rPr/>
        <w:t xml:space="preserve">Student ma podstawową wiedzę z chemii ogólnej, nieorganicznej, fizycznej i organicznej.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1020-MT000-IZP-0109_W2: </w:t>
      </w:r>
    </w:p>
    <w:p>
      <w:pPr/>
      <w:r>
        <w:rPr/>
        <w:t xml:space="preserve">Student potrafi opisać podstawowe pojęcia dotyczące przemian i zjawisk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1020-MT000-IZP-0109_U1: </w:t>
      </w:r>
    </w:p>
    <w:p>
      <w:pPr/>
      <w:r>
        <w:rPr/>
        <w:t xml:space="preserve">Student potrafi rozwiązywać proste zadania obliczeniowe z poznanych działów 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1020-MT000-IZP-0109_U2: </w:t>
      </w:r>
    </w:p>
    <w:p>
      <w:pPr/>
      <w:r>
        <w:rPr/>
        <w:t xml:space="preserve">Student potrafi napisać i zinterpretować podstawowe równania reakcji chemicznych dla związków nieorganicznych i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1020-MT000-IZP-0109_K1: </w:t>
      </w:r>
    </w:p>
    <w:p>
      <w:pPr/>
      <w:r>
        <w:rPr/>
        <w:t xml:space="preserve">Student ma świadomość poziomu swojej wiedzy; rozumie potrzebę dokształcania się i podnoszenia kompetencji zawodowych, potrafi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2024-05-21T03:57:13+02:00</dcterms:created>
  <dcterms:modified xsi:type="dcterms:W3CDTF">2024-05-21T03:57:13+02:00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