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150-MT000-IZP-0206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w tym:
a) wykład - 8 godz.;
b) ćwiczenia - 8 godz.
2) Praca własna studenta – 74 godzin, w tym:
a) 22 godz. – bieżące przygotowywanie się studenta do ćwiczeń, studia literaturowe,
b) 22 godz. – bieżące przygotowywanie materiałów dot. wykładów, studia literaturowe,
c) 15 godz. – przygotowywanie się studenta do 2 kolokwiów z wykładów,
d) 15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0,64 punktu ECTS – liczba godzin kontaktowych - 16, w tym:
a) wykład - 8 godz.;
b) ćwiczenia - 8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1150-MT000-IZP-0206_W01 :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T1A_W03, T1A_W04</w:t>
      </w:r>
    </w:p>
    <w:p>
      <w:pPr>
        <w:keepNext w:val="1"/>
        <w:spacing w:after="10"/>
      </w:pPr>
      <w:r>
        <w:rPr>
          <w:b/>
          <w:bCs/>
        </w:rPr>
        <w:t xml:space="preserve">Efekt 1150-MT000-IZP-0206_W03: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1150-MT000-IZP-0206_W04: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1150-MT000-IZP-0206_U01: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1150-MT000-IZP-0206_U02: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1150-MT000-IZP-0206_K01: </w:t>
      </w:r>
    </w:p>
    <w:p>
      <w:pPr/>
      <w:r>
        <w:rPr/>
        <w:t xml:space="preserve">Potrafi myśleć i działać w sposób przedsiębiorczy.</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KMchtr_K05</w:t>
      </w:r>
    </w:p>
    <w:p>
      <w:pPr>
        <w:spacing w:before="20" w:after="190"/>
      </w:pPr>
      <w:r>
        <w:rPr>
          <w:b/>
          <w:bCs/>
        </w:rPr>
        <w:t xml:space="preserve">Powiązane efekty obszarowe: </w:t>
      </w:r>
      <w:r>
        <w:rPr/>
        <w:t xml:space="preserve">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2024-05-19T02:40:59+02:00</dcterms:created>
  <dcterms:modified xsi:type="dcterms:W3CDTF">2024-05-19T02:40:59+02:00</dcterms:modified>
</cp:coreProperties>
</file>

<file path=docProps/custom.xml><?xml version="1.0" encoding="utf-8"?>
<Properties xmlns="http://schemas.openxmlformats.org/officeDocument/2006/custom-properties" xmlns:vt="http://schemas.openxmlformats.org/officeDocument/2006/docPropsVTypes"/>
</file>