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75 godz projektu.
2) Praca własna studenta – 35 godz., w tym:
a) studia literaturowe: 10 godz.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liczba godzin kontaktowych -  75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- 110 godzin pracy studenta, w tym: 
a) udział w ćwiczeniach projektowych - 75 godz.;
b) praca nad przygotowaniem projektu – 25 godz.
c) studia literaturowe: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KMchtr2_U03, KMchtr2_U05, KMchtr2_U08, KMchtr2_U11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T2A_U10, T2A_U11, InzA_U01, T2A_U12, InzA_U02, InzA_U05, T2A_U09, T2A_U10, T2A_U13, InzA_U01, T2A_U13, T2A_U16, InzA_U03</w:t>
      </w:r>
    </w:p>
    <w:p>
      <w:pPr>
        <w:keepNext w:val="1"/>
        <w:spacing w:after="10"/>
      </w:pPr>
      <w:r>
        <w:rPr>
          <w:b/>
          <w:bCs/>
        </w:rPr>
        <w:t xml:space="preserve">Efekt 1150-00000-MSP-0521_U2: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T2A_U16, InzA_U04, InzA_U05, InzA_U06,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1150-00000-MSP-0521_U3: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KMchtr2_U14, KMchtr2_U15, KMchtr2_U17, KMchtr2_U18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T2A_U04,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1150-00000-MSP-0521_K1: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2025-04-06T19:13:42+02:00</dcterms:created>
  <dcterms:modified xsi:type="dcterms:W3CDTF">2025-04-06T19:13:42+02:00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