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1150-00000-MSP-0505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kontaktowych- 32 godz. w tym:
a) wykład - 15 godz.;
b) laboratorium- 15 godz.;
c) konsultacje - 2 godz.;
2) Praca własna studenta – 25 godz. , w tym:
a) studia literaturowe: 5 godz.;
b) przygotowanie do zajęć: 5 godz.
c) przygotowania do kolokwium zaliczeniowego: 5 godz.
d) opracowanie sprawozdań: 15 godz.
3) RAZEM – 57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 32 godz. w tym:
a) wykład - 15 godz.;
b) laboratorium- 15 godz.;
c)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- 30 godzin pracy studenta, w tym: 
a) udział w ćwiczeniach laboratoryjnych - 15 godzin;
b) sporządzenie sprawozdania z laboratorium - 15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Pomiary wielkości dynamicznych i metody analizy sygnałów. Znajomość teorii drgań, mechaniki materiałów oraz podstaw diagnostyki wibroakustycznej.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przez Regulamin Studiów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zawansowanymi metodami modelowania i symulacji procesu generacji informacji diagnostycznej, analizy związków przyczynowo – skutkowych pomiędzy parametrami diagnostycznymi a parametrami stanu technicznego, wyznaczenie klas i klasyfikatorów stanów alarmowych i przygotowanie studentów do użytkowania i analizy systemów diagnostycznych. Zadaniem przedmiotu będzie wykorzystanie nabytych na wykładzie informacji w praktyce w laboratorium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Ogólna wiedza nt.: 1. Zaawansowana diagnostyka łożysk tocznych; 2. Operator energetyczny Teagera-Kaisera w diagnostyce stanu maszyn 3. Metody falowe; 4. Wykorzystanie efektu zjawiska Dopplera w diagnostyce poruszających się obiektów; Metody magnetyczne w diagnostyce; 5. Zawansowane metody diagnostyki urządzeń wirujących; 6. Płaszczyzna lokalna; 7. Zaawansowana diagnostyka OBD 
Laboratorium: Praktyczne zapoznanie się zawansowanymi metodami diagnostyki maszyn. 1. Pomiary drganiowe w diagnostyce maszyn; 2. Pomiary akustyczne w diagnostyce maszyn; 3. Diagnostyka przekładni zębatych; 4. Analiza procesów niestacjonarnych w maszynach wirnikowych; 5. Diagnostyka łożysk tocznych z wykorzystaniem środowiska LabVIEW; 6. Detekcja błędów łożyskowania wałów z wykorzystaniem bazy danych i modelu symulacyjnego.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kolokwium i pracy domowej.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Radkowski S.: Wibroakustyczna diagnostyka uszkodzeń niskoenergetycznych, ITE Warszawa-Radom 2002,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http://www.mechatronika.simr.pw.edu.pl.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1150-00000-MSP-0505_W1: </w:t>
      </w:r>
    </w:p>
    <w:p>
      <w:pPr/>
      <w:r>
        <w:rPr/>
        <w:t xml:space="preserve">Posiada uporządkowaną, podbudowaną teoretycznie szczegółową wiedzę związaną z wybranymi zagadnieniami z zakresu diagnostyki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keepNext w:val="1"/>
        <w:spacing w:after="10"/>
      </w:pPr>
      <w:r>
        <w:rPr>
          <w:b/>
          <w:bCs/>
        </w:rPr>
        <w:t xml:space="preserve">Efekt 1150-00000-MSP-0505_W2: </w:t>
      </w:r>
    </w:p>
    <w:p>
      <w:pPr/>
      <w:r>
        <w:rPr/>
        <w:t xml:space="preserve">Ma wiedzę o trendach rozwojowych i najistotniejszych nowych osiągnięciach z zakresu diagnostyki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keepNext w:val="1"/>
        <w:spacing w:after="10"/>
      </w:pPr>
      <w:r>
        <w:rPr>
          <w:b/>
          <w:bCs/>
        </w:rPr>
        <w:t xml:space="preserve">Efekt 1150-00000-MSP-0505_W3: </w:t>
      </w:r>
    </w:p>
    <w:p>
      <w:pPr/>
      <w:r>
        <w:rPr/>
        <w:t xml:space="preserve">Posiada podstawową wiedzę o cyklu życia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1150-00000-MSP-0505_U1: </w:t>
      </w:r>
    </w:p>
    <w:p>
      <w:pPr/>
      <w:r>
        <w:rPr/>
        <w:t xml:space="preserve">Potrafi określić kierunki dalszego ucznia się i zrealizować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1150-00000-MSP-0505_U2: </w:t>
      </w:r>
    </w:p>
    <w:p>
      <w:pPr/>
      <w:r>
        <w:rPr/>
        <w:t xml:space="preserve">Potrafi rozwiązywać zadania inżynierskie i problemy badawcze związane z diagnostyką maszyn używając właściwych metod i środków.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KMchtr2_U11, KMchtr2_U12, KMchtr2_U14, KMchtr2_U15, KMchtr2_U16, KMchtr2_U17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T2A_U16, InzA_U03, T2A_U18, InzA_U03, T2A_U18, T2A_U19, T2A_U01, T2A_U03, InzA_U01, T2A_U03,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2026-06-18T17:31:27+02:00</dcterms:created>
  <dcterms:modified xsi:type="dcterms:W3CDTF">2026-06-18T17:31:27+02:00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