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1150-00000-MZP-0513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 w tym:
a) wykład – 16 godz.;
b) laboratorium – 8 godz.;
c) konsultacje – 2 godz.
2) Praca własna studenta – 50 godz., w tym:
a) studia literaturowe – 28 godz.;
b) przygotowywanie się studenta do egzaminu – 10 godz.;
c) przygotowywanie się studenta do ćwiczeń laboratoryjnych – 12 godz.
3) RAZEM – 76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26 godz., w tym:
a) wykład – 16 godz.;
b) laboratorium –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20 godz., w tym:
a) laboratorium – 8 godz.;
b) przygotowywanie się studenta do ćwiczeń laboratoryjnych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Laboratorium: Wprowadzenie w środowisko Matlab. Wprowadzenie do Przybornika Globalnej Optymalizacji (Global Optimization Toolbox) i Przybornika Sieci Neuronowych (Neural Network Toolbox) środowiska Matlab. Algorytmy genetyczne w zadaniach optymalizacji. Optymalizacja z ograniczeniami z wykorzystaniem algorytmów genetycznych. Optymalne wymiarowanie konstrukcji za pomocą algorytmu genetycznego. Perceptrony wielowarstwowe w zadaniach klasyfikacji i aproksymacji. Przetwarzanie sygnałów z wykorzystaniem sieci neuronowych.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Arabas, Wykłady z algorytmów genetycznych. Wydawnictwa Naukowo-Techniczne, Warszawa, 2004.
[2] Z. Michalewicz, Algorytmy genetyczne + struktury danych = programy ewolucyjne. Wydawnictwa Naukowo-Techniczne, Warszawa, 1996.
[3] R. Tadeusiewicz, Sieci neuronowe. Akademicka Oficyna Wydawnicza RM, Warszawa, 1993. http://winntbg.bg.agh.edu.pl/skrypty/0001/
[4] S. Osowski, Sieci neuronowe do przetwarzania informacji. Oficyna Wydawnicza Politechniki Warszawskiej, Warszawa, 2006.
[5] S. Osowski, Sieci neuronowe w ujęciu algorytmicznym. Wydawnictwa Naukowo-Techniczne, Warszawa, 1996.
[6] S. Osowski, Sieci neuronowe. Oficyna Wydawnicza Politechniki Warszawskiej, Warszawa, 1994.
[7] W. Duch, J. Korbicz, L. Rutkowski, R. Tadeusiewicz /red./, Sieci neuronowe. Akademicka Oficyna Wydawnicza EXIT, Warszawa, 2000.
[8] L. Rutkowski, Metody i techniki sztucznej inteligencji. Wydawnictwo Naukowe PWN, Warszawa, 2009.
[9] D. Rutkowska, M. Piliński, L. Rutkowski, Sieci neuronowe, algorytmy genetyczne i systemy rozmyte. Wydawnictwo Naukowe PWN, Warszawa-Łódź,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1150-00000-MZP-0513_W1: </w:t>
      </w:r>
    </w:p>
    <w:p>
      <w:pPr/>
      <w:r>
        <w:rPr/>
        <w:t xml:space="preserve">Student, który zaliczył przedmiot posiada uporządkowaną, podbudowaną teoretycznie wiedzę ogólną obejmującą kluczowe zagadnienia związane z algorytmami genetycznymi i sieciami neuronowymi.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1150-00000-MZP-0513_U1: </w:t>
      </w:r>
    </w:p>
    <w:p>
      <w:pPr/>
      <w:r>
        <w:rPr/>
        <w:t xml:space="preserve">Student, który zaliczył przedmiot ma wiedzę o trendach rozwojowych i najistotniejszych nowych osiągnięciach z zakresu wykorzystania algorytmów genetycznych i sieci neuronowych w zadaniach inżynierskich i problemach badawczych.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KMiBM2_U14, KMiBM2_U15</w:t>
      </w:r>
    </w:p>
    <w:p>
      <w:pPr>
        <w:spacing w:before="20" w:after="190"/>
      </w:pPr>
      <w:r>
        <w:rPr>
          <w:b/>
          <w:bCs/>
        </w:rPr>
        <w:t xml:space="preserve">Powiązane efekty obszarowe: </w:t>
      </w:r>
      <w:r>
        <w:rPr/>
        <w:t xml:space="preserve">T2A_U18, T2A_U19, T2A_U01</w:t>
      </w:r>
    </w:p>
    <w:p>
      <w:pPr>
        <w:keepNext w:val="1"/>
        <w:spacing w:after="10"/>
      </w:pPr>
      <w:r>
        <w:rPr>
          <w:b/>
          <w:bCs/>
        </w:rPr>
        <w:t xml:space="preserve">Efekt 1150-00000-MZP-0513_U2: </w:t>
      </w:r>
    </w:p>
    <w:p>
      <w:pPr/>
      <w:r>
        <w:rPr/>
        <w:t xml:space="preserve">Student, który zaliczył przedmiot potrafi określić kierunki dalszego ucznia się i zrealizować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KMiBM2_U19</w:t>
      </w:r>
    </w:p>
    <w:p>
      <w:pPr>
        <w:spacing w:before="20" w:after="190"/>
      </w:pPr>
      <w:r>
        <w:rPr>
          <w:b/>
          <w:bCs/>
        </w:rPr>
        <w:t xml:space="preserve">Powiązane efekty obszarowe: </w:t>
      </w:r>
      <w:r>
        <w:rPr/>
        <w:t xml:space="preserve">T2A_U05</w:t>
      </w:r>
    </w:p>
    <w:p>
      <w:pPr>
        <w:keepNext w:val="1"/>
        <w:spacing w:after="10"/>
      </w:pPr>
      <w:r>
        <w:rPr>
          <w:b/>
          <w:bCs/>
        </w:rPr>
        <w:t xml:space="preserve">Efekt 1150-00000-MZP-0513_U3: </w:t>
      </w:r>
    </w:p>
    <w:p>
      <w:pPr/>
      <w:r>
        <w:rPr/>
        <w:t xml:space="preserve">Student, który zaliczył przedmiot potrafi rozwiązywać zadania inżynierskie i problemy badawcze z wykorzystaniem istniejących w środowisku Matlab narzędzi do symulacji działania algorytmów genetycznych i sieci neuronowych.</w:t>
      </w:r>
    </w:p>
    <w:p>
      <w:pPr>
        <w:spacing w:before="60"/>
      </w:pPr>
      <w:r>
        <w:rPr/>
        <w:t xml:space="preserve">Weryfikacja: </w:t>
      </w:r>
    </w:p>
    <w:p>
      <w:pPr>
        <w:spacing w:before="20" w:after="190"/>
      </w:pPr>
      <w:r>
        <w:rPr/>
        <w:t xml:space="preserve">Ocena jakości wykonania zadań w ramach ćwiczeń laboratoryjnych</w:t>
      </w:r>
    </w:p>
    <w:p>
      <w:pPr>
        <w:spacing w:before="20" w:after="190"/>
      </w:pPr>
      <w:r>
        <w:rPr>
          <w:b/>
          <w:bCs/>
        </w:rPr>
        <w:t xml:space="preserve">Powiązane efekty kierunkowe: </w:t>
      </w:r>
      <w:r>
        <w:rPr/>
        <w:t xml:space="preserve">KMiBM2_U12, KMiBM2_U14</w:t>
      </w:r>
    </w:p>
    <w:p>
      <w:pPr>
        <w:spacing w:before="20" w:after="190"/>
      </w:pPr>
      <w:r>
        <w:rPr>
          <w:b/>
          <w:bCs/>
        </w:rPr>
        <w:t xml:space="preserve">Powiązane efekty obszarowe: </w:t>
      </w:r>
      <w:r>
        <w:rPr/>
        <w:t xml:space="preserve">T2A_U18, InzA_U03,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2024-05-19T13:57:36+02:00</dcterms:created>
  <dcterms:modified xsi:type="dcterms:W3CDTF">2024-05-19T13:57:36+02:00</dcterms:modified>
</cp:coreProperties>
</file>

<file path=docProps/custom.xml><?xml version="1.0" encoding="utf-8"?>
<Properties xmlns="http://schemas.openxmlformats.org/officeDocument/2006/custom-properties" xmlns:vt="http://schemas.openxmlformats.org/officeDocument/2006/docPropsVTypes"/>
</file>