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1150-00000-MZP-0504</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- 26,w tym:
a) wykład – 16 godz.;
b) laboratorium – 8 godz.
c) konsultacje - 2 godz.;
2) Praca własna studenta - 48 godzin, w tym:
a)	 8 godz. – bieżące przygotowywanie się studenta do wykładu;
b)      20 godz. – praca nad 2 projektami;
b)	 10 godz. – studia literaturowe;
c)	 10 godz. – przygotowywanie się studenta do sprawdzianu;
3) RAZEM – 74 
</w:t>
      </w:r>
    </w:p>
    <w:p>
      <w:pPr>
        <w:keepNext w:val="1"/>
        <w:spacing w:after="10"/>
      </w:pPr>
      <w:r>
        <w:rPr>
          <w:b/>
          <w:bCs/>
        </w:rPr>
        <w:t xml:space="preserve">Liczba punktów ECTS na zajęciach wymagających bezpośredniego udziału nauczycieli akademickich: </w:t>
      </w:r>
    </w:p>
    <w:p>
      <w:pPr>
        <w:spacing w:before="20" w:after="190"/>
      </w:pPr>
      <w:r>
        <w:rPr/>
        <w:t xml:space="preserve">1,0   punktu ECTS – liczba godzin kontaktowych  - 26,w tym:
a) wykład – 16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28 godz., w tym:
a) laboratorium – 8 godz.
b)  20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KMchtr2_W06, KMchtr2_W07, KMchtr2_W10</w:t>
      </w:r>
    </w:p>
    <w:p>
      <w:pPr>
        <w:spacing w:before="20" w:after="190"/>
      </w:pPr>
      <w:r>
        <w:rPr>
          <w:b/>
          <w:bCs/>
        </w:rPr>
        <w:t xml:space="preserve">Powiązane efekty obszarowe: </w:t>
      </w:r>
      <w:r>
        <w:rPr/>
        <w:t xml:space="preserve">T2A_W02, T2A_W07, InzA_W02, InzA_W03, InzA_W05, T2A_W02, T2A_W03, InzA_W02, T2A_W02, T2A_W03, T2A_W04, InzA_W02</w:t>
      </w:r>
    </w:p>
    <w:p>
      <w:pPr>
        <w:keepNext w:val="1"/>
        <w:spacing w:after="10"/>
      </w:pPr>
      <w:r>
        <w:rPr>
          <w:b/>
          <w:bCs/>
        </w:rPr>
        <w:t xml:space="preserve">Efekt 1150-00000-MZP-0504_W2: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efekty kierunkowe: </w:t>
      </w:r>
      <w:r>
        <w:rPr/>
        <w:t xml:space="preserve">KMchtr2_W06, KMchtr2_W07, KMchtr2_W10, KMchtr2_W11</w:t>
      </w:r>
    </w:p>
    <w:p>
      <w:pPr>
        <w:spacing w:before="20" w:after="190"/>
      </w:pPr>
      <w:r>
        <w:rPr>
          <w:b/>
          <w:bCs/>
        </w:rPr>
        <w:t xml:space="preserve">Powiązane efekty obszarowe: </w:t>
      </w:r>
      <w:r>
        <w:rPr/>
        <w:t xml:space="preserve">T2A_W02, T2A_W07, InzA_W02, InzA_W03, InzA_W05, T2A_W02, T2A_W03, InzA_W02, T2A_W02, T2A_W03, T2A_W04, InzA_W02, T2A_W03, T2A_W04, T2A_W07</w:t>
      </w:r>
    </w:p>
    <w:p>
      <w:pPr>
        <w:pStyle w:val="Heading3"/>
      </w:pPr>
      <w:bookmarkStart w:id="3" w:name="_Toc3"/>
      <w:r>
        <w:t>Profil ogólnoakademicki - umiejętności</w:t>
      </w:r>
      <w:bookmarkEnd w:id="3"/>
    </w:p>
    <w:p>
      <w:pPr>
        <w:keepNext w:val="1"/>
        <w:spacing w:after="10"/>
      </w:pPr>
      <w:r>
        <w:rPr>
          <w:b/>
          <w:bCs/>
        </w:rPr>
        <w:t xml:space="preserve">Efekt 1150-00000-MZP-0504_U1: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efekty kierunkowe: </w:t>
      </w:r>
      <w:r>
        <w:rPr/>
        <w:t xml:space="preserve">KMchtr2_U05, KMchtr2_U06, KMchtr2_U07, KMchtr2_U08, KMchtr2_U14, KMchtr2_U15, KMchtr2_U18</w:t>
      </w:r>
    </w:p>
    <w:p>
      <w:pPr>
        <w:spacing w:before="20" w:after="190"/>
      </w:pPr>
      <w:r>
        <w:rPr>
          <w:b/>
          <w:bCs/>
        </w:rPr>
        <w:t xml:space="preserve">Powiązane efekty obszarowe: </w:t>
      </w:r>
      <w:r>
        <w:rPr/>
        <w:t xml:space="preserve">T2A_U12, InzA_U02, InzA_U05, T2A_U08, T2A_U10, T2A_U10, T2A_U15, T2A_U16, InzA_U03, InzA_U04, InzA_U05, InzA_U06, InzA_U07, InzA_U08, T2A_U09, T2A_U10, T2A_U13, InzA_U01, T2A_U18, T2A_U19, T2A_U01,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2026-08-25T05:53:01+02:00</dcterms:created>
  <dcterms:modified xsi:type="dcterms:W3CDTF">2026-08-25T05:53:01+02:00</dcterms:modified>
</cp:coreProperties>
</file>

<file path=docProps/custom.xml><?xml version="1.0" encoding="utf-8"?>
<Properties xmlns="http://schemas.openxmlformats.org/officeDocument/2006/custom-properties" xmlns:vt="http://schemas.openxmlformats.org/officeDocument/2006/docPropsVTypes"/>
</file>