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32 godz.. w tym:
•	wykład - 15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zagadnień z zakresu techniki pomiarów współrzędnościowych w zastosowaniu produkcji przedmiotów maszynowych i elementów przemysłu agd, motoryzacyjnego. motoryzacyjnego np. karoserie samochodowe, części silników, skrzyń przekładniowych i układów zawieszenia,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prostoliniowości i prostopadłości  prowadnic, błędów rotacyjnych.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trakcie semestru prowadzona jest ocena z przygotowania przez poszczególnych studentów.  Zajęcia laboratoryjne -  na podstawie oceniane są ze sprawdzianów przygotowania do ćwiczeń i na podstawie ocen złożonych sprawozdań z poszczególnych 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2014.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egzamin: </w:t>
      </w:r>
    </w:p>
    <w:p>
      <w:pPr/>
      <w:r>
        <w:rPr/>
        <w:t xml:space="preserve">Ma podstawową wiedzę w zakresie analizy, wizualizacji i archiwizacji wyników pomiarów z użyciem współrzędnościowej techniki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2024-04-28T19:29:29+02:00</dcterms:created>
  <dcterms:modified xsi:type="dcterms:W3CDTF">2024-04-28T19:29:29+02:00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