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wykład 15 godz., 
zajęcia laboratoryjne 15 godz.,
konsultacje – 2 godz..
2) Praca własna studenta – 50 godz.
•	studia literaturowe, przygotowanie do sprawdzianów 10 godz., 
•	wykonanie prac domowych 20 godz.,
•	wykonanie tematów indywidualnych 20 godz.,
•	wykonanie portfolio 5 godz..
RAZEM- 80 godz. -3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bezpośrednich: 32, w tym:
•	wykład 15 godz., 
•	zajęcia laboratoryjne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godz, w tym:
•	wykonanie prac domowych 20 godz.,
•	wykonanie tematów indywidualnych 20 godz.,
•	zajęcia laboratoryjne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 algorytmów grafiki komputerowej 3D i animacji 3D oraz zasad  zarówno ich  implementacji, jak i wykorzystania w aplikacjach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1. Grafika rastrowa i wektorowa. Formaty plików graficznych. Elementy teorii barw.  
2. Krzywe w reprezentacji  Beziera,  algorytmy wyznaczania. Krzywe B-sklejane drugiego i trzeciego stopnia.  
3. Modelowanie powierzchni Beziera i B-sklejanych. Konstruowanie powierzchni na podstawie krzywych. Definiowanie brył CSG. Modelowanie powierzchni subdivision. 
4. Modelowanie światła odbitego od powierzchni: odbicie rozproszone i lustrzane. Cieniowanie siatek wielościanowych. 
5. Metody usuwania punktów niewidocznych, z-bufor. Symulacja przezroczystości i cieni. Zasady nakładania tekstury; odwzorowywanie wypukłości. 
6. Algorytmy oświetlenia globalnego: metoda śledzenia promieni, metoda energetyczna, mapowanie fotonowe, path tracing, ambient occlusion. 
7. Animacja kluczowa i ścieżkowa, interpolacja wykresowa. Animacja oparta na prawach fizyki, systemy cząsteczkowe. Zasady animacji szkieletów, animacja postaci i animacja twarzy.
8. Wprowadzenie do standardów OpenGL i WebGL. Procesory graficzne i technologia NVIDIA CUDA.  Interaktywny ray tracing, giga-voxele i silniki gier (UnReal Engine, CryEngine).
===LABORATORIUM=== 
Ćwiczenie 1,2,3. Wprowadzenie do korzystania z modelera Rhinoceros ze szczególnym uwzględnieniem modelowania krzywych i powierzchni.  
Ćwiczenie 4,5. Szybkie tworzenie efektów grafiki 2D i 3D z użyciem Processingu - języka do tworzenia apletów graficznych, bazującego na Javie. 
Ćwiczenie 6,7. Wprowadzenie do korzystania z Blendera -  modelowanie powierzchni subdivision, renderowanie silnikiem Cycles i różne formy animacji.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obowiązkowe jest oddanie wszystkich prac domowych.
Wykład - 2 sprawdziany (teoria+praktyka) po 10 punktów
Laboratorium - 3 tematy po 10 punktów
Łącznie max. 50,0 pkt.
•	ponad 50 % do 60 %  - ocena 3,0 
•	ponad 60 % do 70 %  - ocena 3,5 
•	ponad 70 % do 80 %  - ocena 4,0 
•	ponad 80 % do 90 %  - ocena 4,5 
•	ponad 90 %                 - ocena 5,0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Technika obrazowa. OKNO PW. Warszawa 2005, dostępny online.
2. P. Kiciak: Podstawy modelowania krzywych i powierzchni. Zastosowania w grafice komputerowej. WNT 2005. 
3. J. D. Foley, A. van Dam i in.: Wprowadzenie do grafiki komputerowej. WNT 2001. 
4. R. Parent: Animacja komputerowa. Algorytmy i techniki. PWN 2012.
5. T. Roosendaal, S. Selleri: Blender 2.3. Oficjalny podręcznik. Helion 2005. 
6. R. S. Wright Jr., B. Lipchak: OpenGL. Księga eksperta. Wyd. III. Helion 2004.
7. Zasoby dostępne w Internecie.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GRK_W01: </w:t>
      </w:r>
    </w:p>
    <w:p>
      <w:pPr/>
      <w:r>
        <w:rPr/>
        <w:t xml:space="preserve">ma podstawową uporządkowaną wiedzę z zakresu modelowania krzywych, powierzchni i brył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GRK_W02: </w:t>
      </w:r>
    </w:p>
    <w:p>
      <w:pPr/>
      <w:r>
        <w:rPr/>
        <w:t xml:space="preserve">ma podstawową uporządkowaną wiedzę z zakresu  algorytmów grafiki komputerowej i animacji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GRK_W03: </w:t>
      </w:r>
    </w:p>
    <w:p>
      <w:pPr/>
      <w:r>
        <w:rPr/>
        <w:t xml:space="preserve">ma uporządkowaną wiedzę na temat  korzystania z systemów grafiki komputerowej i systemów 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GRK_W04: </w:t>
      </w:r>
    </w:p>
    <w:p>
      <w:pPr/>
      <w:r>
        <w:rPr/>
        <w:t xml:space="preserve">ma podstawową wiedzę na temat tworzenia oprogramowania w zakresie modelowania i grafiki komputerowej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GRK_U01: </w:t>
      </w:r>
    </w:p>
    <w:p>
      <w:pPr/>
      <w:r>
        <w:rPr/>
        <w:t xml:space="preserve">potrafi posługiwać się środowiskami grafiki komputerowej (np. Blender) i CAD (np. Rhinoceros) do modelowania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GRK_U02: </w:t>
      </w:r>
    </w:p>
    <w:p>
      <w:pPr/>
      <w:r>
        <w:rPr/>
        <w:t xml:space="preserve">potrafi posługiwać się językiem programowania grafiki (typu Processing) i biblioteką graficzną  do tworzenia oprogramowania graficznego (np. prostych gier)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K_U22, K_U01,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GRK_U03: </w:t>
      </w:r>
    </w:p>
    <w:p>
      <w:pPr/>
      <w:r>
        <w:rPr/>
        <w:t xml:space="preserve">potrafi utworzyć prostą stronę internetową zawierającą dokumentację wykonanych ćwiczeń laboratoryjnych i prac domowych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GRK_K01: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2026-07-11T00:47:48+02:00</dcterms:created>
  <dcterms:modified xsi:type="dcterms:W3CDTF">2026-07-11T00:47:48+02:00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