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55h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1,8	
Inne formy kontaktu bezpośredniego ( egzaminy, konsultacje oraz zaliczenia i egzaminy w dodatkowych terminach)	0,6
Łącznie	2,4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Wyznaczanie poznanych wskaźników z wykorzystaniem arkuszy kalkulacyjnych.
</w:t>
      </w:r>
    </w:p>
    <w:p>
      <w:pPr>
        <w:keepNext w:val="1"/>
        <w:spacing w:after="10"/>
      </w:pPr>
      <w:r>
        <w:rPr>
          <w:b/>
          <w:bCs/>
        </w:rPr>
        <w:t xml:space="preserve">Metody oceny: </w:t>
      </w:r>
    </w:p>
    <w:p>
      <w:pPr>
        <w:spacing w:before="20" w:after="190"/>
      </w:pPr>
      <w:r>
        <w:rPr/>
        <w:t xml:space="preserve">Egzamin pisemny 
Praca kontrolna (kolokwium).
Projekt z wykorzystaniem programu Statistica.
Warunkiem zaliczenia jest pozytywne zaliczenie kolokwium oraz egzaminu, prawidłowe wykonanie projektu.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pStyle w:val="Heading3"/>
      </w:pPr>
      <w:bookmarkStart w:id="4" w:name="_Toc4"/>
      <w:r>
        <w:t>Profil praktyczny - kompetencje społeczne</w:t>
      </w:r>
      <w:bookmarkEnd w:id="4"/>
    </w:p>
    <w:p>
      <w:pPr>
        <w:keepNext w:val="1"/>
        <w:spacing w:after="10"/>
      </w:pPr>
      <w:r>
        <w:rPr>
          <w:b/>
          <w:bCs/>
        </w:rPr>
        <w:t xml:space="preserve">Efekt KK01: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 Projekt</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2024-05-18T20:27:48+02:00</dcterms:created>
  <dcterms:modified xsi:type="dcterms:W3CDTF">2024-05-18T20:27:48+02:00</dcterms:modified>
</cp:coreProperties>
</file>

<file path=docProps/custom.xml><?xml version="1.0" encoding="utf-8"?>
<Properties xmlns="http://schemas.openxmlformats.org/officeDocument/2006/custom-properties" xmlns:vt="http://schemas.openxmlformats.org/officeDocument/2006/docPropsVTypes"/>
</file>