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Zna podstawowe zasady bezpieczeństwa pracy, normy i reguły prawne zasad funkcjonowania organizacji, a także podstawowe cele jej działalności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Potrafi, wykonując obowiązki na powierzonym stanowisku pracy, wykorzystywać zarówno wiedzę teoretyczną, jak i praktyczne wskazówki współpracowników i przełożonych w środowisku pracy.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Potrafi wyszukać, dobrać i wykorzystać materiały i informacje niezbędne do rozwiązywania zleconych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Posiada umiejętność wykorzystywania przepisów i norm prawnych odnoszących się bezpośrednio do powierzonego stanowiska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Wykazuje chęci uczestnictwa pracy w zespole pełniąc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S1P_K07</w:t>
      </w:r>
    </w:p>
    <w:p>
      <w:pPr>
        <w:keepNext w:val="1"/>
        <w:spacing w:after="10"/>
      </w:pPr>
      <w:r>
        <w:rPr>
          <w:b/>
          <w:bCs/>
        </w:rPr>
        <w:t xml:space="preserve">Efekt K_K03: </w:t>
      </w:r>
    </w:p>
    <w:p>
      <w:pPr/>
      <w:r>
        <w:rPr/>
        <w:t xml:space="preserve">Potrafi racjonalnie gospodarować swoim czasem pracy, rzetelnie wykonuje zlecone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2024-05-18T21:03:12+02:00</dcterms:created>
  <dcterms:modified xsi:type="dcterms:W3CDTF">2024-05-18T21:03:12+02:00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