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Bankowa obsługa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Udział w ćwiczeniach	15h
Praca własna:
- przegląd literatury-10h 
- przygotowanie do ćwiczeń- 5h 
- przygotowanie do zaliczenia -5h,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na wzajemne relacje między bankiem, a podmiotem prowadzącym działalność gospodarczą. Przedsiębiorstwa i banki muszą wzajemnie przystosowywać się do warunków i mechanizmów działania gospodarki rynkowej. Przystosowywanie to uzależnione jest od bankowej obsługi, jej zakresu, sprawności i zróżnicowania. Współpraca pomiędzy bankiem, a przedsiębiorstwem ulega ciągłemu dostosowywaniu się do zmieniających się warunków. Warunki te dotyczą oferty usług bankowych w zakresie działalności rozliczeniowe, depozytowej i kredytowe w obrocie krajowym i zagranicznym.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	Znaczenie banku dla przedsiębiorstwa i kryteria wyboru banku przez przedsiębiorstwo
2.	Rachunek bieżący w działalności przedsiębiorstwa
3.	Metody finansowania bieżącej działalności przedsiębiorstw przez banki - kredyty i pożyczki
4.	Metody finansowania bieżącej działalności przedsiębiorstw przez banki - leasing i faktoring
5.	Działalność depozytowa z punktu widzenia przedsiębiorstwa
6.	Uwarunkowania rozliczeń finansowych przedsiębiorstw
7.	Rola systemu office banking w obsłudze finansowej przedsiębiorstwa
Ćwiczenia (tematy)
1. Możliwości inwestycyjne przedsiębiorstw w kontekście jego współpracy z bankiem - ocena opłacalności produktów inwestycyjnych
2. Procedury oceny zdolności i wiarygodności kredytowej
3. Ocena opłacalności produktów kredytowych : leasing a kredyt bankowy
4. Uwarunkowania skuteczności produktów faktoringowych 
5. Ocena porównawcza zakresu i atrakcyjności ofert bankowych dla przedsiębiorstw na polskim rynku
6. Uwarunkowania rozliczeń finansowych przedsiębiorstw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 ćwiczeń
Warunkiem zaliczenia ćwiczeń jest uzyskanie pozytywnej oceny z pracy audytoryjnej w postaci zadań do rozwiązania. 
Sposób zaliczenia egzaminu
Warunkiem zaliczenia jest uzyskanie pozytywnej oceny z egzaminu przeprowadzonego w formie pisemnej - test jednokrotnego wyboru. 
Na ocenę końcową składa się 50% oceny z zaliczenia ćwiczeń i 50% oceny z egzaminu plus maksymalnie 5 punktów z aktywności.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Dobosiewicz Z., Bankowość; PWE, Warszawa 2011
2. Jaworski W.L., Zawadzka Z. [red.], Bankowość. Podręcznik akademicki pod red. Poltext, Warszawa 2008.
3. Szewczyk R. [red.], Bankowa obsługa firmy: rachunki, rozliczenia pieniężne, kredyty inwestycyjne, Wyd. Oficyna Ekonomiczna, Kraków 2002.
4. Dahmen A., P. Jacobi, Bankowa obsługa przedsiębiorstw, wyd. 2, Wydawnictwo CeDeWu, Warszawa 2009
Literatura uzupełniająca:
Galbarczyk T. Świderska J., Bank komercyjny w Polsce. Podręcznik akademicki, Difin, Warszawa 2011
Heffernan S.: Nowoczesna bankowość, PWN, Warszawa 2007.
Korenik D.: Innowacyjne usługi banku, PWN,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K_W15: </w:t>
      </w:r>
    </w:p>
    <w:p>
      <w:pPr/>
      <w:r>
        <w:rPr/>
        <w:t xml:space="preserve">Ma podstawową wiedzę o sposobach finansowania działalności gospodarczej za pomocą kredytu bankowego, leasingu, faktoringu.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S1P_W07, S1P_W11</w:t>
      </w:r>
    </w:p>
    <w:p>
      <w:pPr>
        <w:keepNext w:val="1"/>
        <w:spacing w:after="10"/>
      </w:pPr>
      <w:r>
        <w:rPr>
          <w:b/>
          <w:bCs/>
        </w:rPr>
        <w:t xml:space="preserve">Efekt K_W16: </w:t>
      </w:r>
    </w:p>
    <w:p>
      <w:pPr/>
      <w:r>
        <w:rPr/>
        <w:t xml:space="preserve">Ma podstawową wiedzę z zakresu działalności finansów finansowych, na których może lokować swoje nadwyżki finansowe oraz pozyskiwać kapitał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wykorzystywać wybrane metody i narzędzia do prognozowania zjawisk i procesów gospodarczych oraz określenia ich praktycznych skutków ekonomicznych,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Analizuje efektywność decyzji w zakresie lokowania nadwyżek kapitału i pozyskiwania kapitałów z udziałem instytucji bankowych.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Student posiada umiejętność składania wniosków na różne kredyty bankowe, negocjowania warunków kredytu.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K_KO8: </w:t>
      </w:r>
    </w:p>
    <w:p>
      <w:pPr/>
      <w:r>
        <w:rPr/>
        <w:t xml:space="preserve">Student posiada umiejętność wyrażania własnych poglądów, formułowania i uzasadniania opinii dotyczących efektywnego doboru produktów bankowych w zależności od specyfiki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2024-05-18T22:24:31+02:00</dcterms:created>
  <dcterms:modified xsi:type="dcterms:W3CDTF">2024-05-18T22:24:31+02:00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