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wykłady, 16 h - ćwiczenia,43h -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0,40 ECTS - konsultacje, egzaminy,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Studenci powinni posiąść wiedzę dotycząca konstrukcji sektora finansów publicznych oraz umiejętność dokonywania analizy struktury budżetu; rozumienia zagrożeń nadmiernego deficytu budżetowego; analizy relacji między finansami publicznymi a rynkami finansowymi; 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System i struktura finansów publicznych. 
2.	Gospodarka budżetowa i pozabudżetowa. 
3.	Planowanie, realizacja i kontrola zadań publicznych. 
4.	Budżet, struktura dochodów i wydatków. 
5.	Równowaga budżetowa, deficyt budżetowy i dług publiczny. 
6.	Podatki – szczególnym dochodem publicznym - ekonomiczny aspekt podatków, klasyfikacja podatków, zasady podatkowe, uchylanie się od obowiązku podatkowego (przyczyny, formy, skutki).
7.	 Wydatki sektora publicznego – istota wydatków publicznych i sposoby ich klasyfikacji.
8.	Znaczenie prawa Wagnera.
9.	 Wydatki publiczne a polityka społeczno-gospodarcza. 
10.	Problem racjonalizacji wydatków publicznych. 
11.	Rola instytucji finansowych w finansowaniu deficytu budżetowego. 
Ćwiczenia (tematy)
1. Podatek dochodowy od osób prawnych. 
2. Podatek dochodowy od osób fizycznych. 
3. Podatek od towarów i usług. 
4. Podatek akcyzowy.
5. Podatek od czynności cywilnoprawnych. 
6. Podatek od gier. 
7. Podatek od nieruchomości. 
8. Podatek od środków transportu. 
9. Podatek rolny.
10. Podatek leśny.
11. Podatki opłacone w formie zryczałtowanej: od przychodów ewidencjonowanych, karta
podatkowa, od dochodów osób duchownych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trzy pytania opisowe.
Kolokwium zaliczeniowe na zaliczenie ćwiczeń.
Ogólna ocena za przedmiot to średnia ważona:
50% oceny za egzamin z wykładu oraz 50% oceny za kolokwium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1.Owsiak St, Finanse publiczne. Teoria i praktyka, PWN, Warszawa 2011.
2. Wernik A., Finanse publiczne, PWE, Warszawa 2011.
3. Ustawy podatkowe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K_WO1: </w:t>
      </w:r>
    </w:p>
    <w:p>
      <w:pPr/>
      <w:r>
        <w:rPr/>
        <w:t xml:space="preserve">Ma podstawową wiedzę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K_U16: </w:t>
      </w:r>
    </w:p>
    <w:p>
      <w:pPr/>
      <w:r>
        <w:rPr/>
        <w:t xml:space="preserve">Posiada umiejętność rozumienia sposobu funkcjonowania systemu finansów publicznych, rynków i instytucji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K_KO7: </w:t>
      </w:r>
    </w:p>
    <w:p>
      <w:pPr/>
      <w:r>
        <w:rPr/>
        <w:t xml:space="preserve">Jest kreatywny, potrafi myśleć i działać w sposób zaangażowany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2024-05-21T13:48:05+02:00</dcterms:created>
  <dcterms:modified xsi:type="dcterms:W3CDTF">2024-05-21T13:48:05+02:00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