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np.:
1. liczba godzin kontaktowych – 35 godz., w tym
obecność na wykładach 30 godz.,
obecność na laboratorium 15 godz.,
konsultacje 5 godz.,
2. praca własna studenta – 50 godz., w tym
przygotowanie do kolokwium 20 godz.,
przygotowanie do laboratorium 30 godz.
Łączny nakład pracy studenta wynosi 85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1,23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1,59 pkt. ECTS, co odpowiada 15 godz. ćwiczeń laboratoryjnych plus 30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Radiologia (RAD).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zdobycie wiedzy, umiejętności praktycznych oraz kompetencji społecznych w zakresie kontroli jakości radiologicznych urządzeń diagnostycznych.</w:t>
      </w:r>
    </w:p>
    <w:p>
      <w:pPr>
        <w:keepNext w:val="1"/>
        <w:spacing w:after="10"/>
      </w:pPr>
      <w:r>
        <w:rPr>
          <w:b/>
          <w:bCs/>
        </w:rPr>
        <w:t xml:space="preserve">Treści kształcenia: </w:t>
      </w:r>
    </w:p>
    <w:p>
      <w:pPr>
        <w:spacing w:before="20" w:after="190"/>
      </w:pPr>
      <w:r>
        <w:rPr/>
        <w:t xml:space="preserve">Treść wykładu:
Podstawy prawne zagadnienia kontroli jakości urządzeń diagnostycznych .
Określenia i pojęcia użyte w testach specjalistycznych i testach podstawowych w rentgenodiagnostyce i radiologii zabiegowej.
Wymagania dotyczące opisu i przeglądu obrazów rejestrowanych w postaci cyfrowej.
Testy podstawowe (kryteria, częstotliwość, stosowana aparatura, metodyka przeprowadzania):
- urządzeń stosowane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stosowane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 skanerów PET i PET/CT
Treść laboratorium:
Przeprowadzenie testów podstawowych:
- urządzeń stosowane w radiografii ogólnej analogowej
- urządzeń stosowanych w radiografii ogólnej cyfrowej (CR i DR)
- urządzeń stosowanych we fluoroskopii i angiografii
- monitorów stosowanych w stacjach przeglądowych i opisowych
Przeprowadzenie testów specjalistycznych:
- urządzeń stosowane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Przeprowadzanie oceny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zaliczenie wykładu i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Golnik N. Radiologia, materiały do wykładu specjalizacyjnego studiów pierwszego stopnia kierunku Mechatroniki
2. 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3. American Association of Physicists in Medicine, AAPM (1995) Report No. 52: Quantitation of SPECT performance. American Institute of Physics, New York
4. International Atomic Energy Agency, IAEA (2009) Human Health Series No. 1: Quality assurance for PET and PET/CT systems, International Atomic Energy Agency, Vienna
5. International Atomic Energy Agency, IAEA (2009) Quality assurance for SPECT systems. Human Health Series No. 6. International Atomic Energy Agency, Vienna
6. National Electrical Manufacturers Association, NEMA (2001, 2007) Standards Publication NU 1: Performance Measurements of Scintillation Cameras. NEMA, Rosslyn, VA
7. National Electrical Manufacturers Association, NEMA (1994, 2001, 2007, 2012) Standard Publication NU 2: Performance measurements of positron emission tomographs. NEMA, Rosslyn, VA
8. International Electrotechnical Commission, IEC (1998, 2008, 2013) Radionuclide Imaging Devices ? Characteristics and Test Conditions - Part 1: Positron Emission Tomographs, IEC 61675-1, IEC, Geneva
9. International Electrotechnical Commission, IEC (2005) Nuclear medicine instrumentation ? Routine tests ? Part 3: Positron emission tomographs, IEC/TR 61948, IEC, Geneva
10. E. Busemann Sokole, A. Płachcínska, A. Britten, EANM Physics Committee: Acceptance testing for nuclear medicine instrumentation, Eur J Nucl Med Mol Imaging, 37(3), 2010, 672?681.
11.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12. Witold Skrzyński, Wioletta Ślusarczyk-Kacprzyk: Testy podstawowe monitorów stosowanych do prezentacji obrazów medycznych. Pol J Med Phys Eng 2013;19(1):1-14. PL ISSN 1425-4689 doi: 10.2478/pjmpe-2013-0001.
13. Witold Skrzyński, Wioletta Ślusarczyk-Kacprzyk: Testy specjalistyczne monitorów stosowanych do prezentacji obrazów medycznych. Pol J Med Phys Eng 2013;19(1):15-33. PL ISSN 1425-4689 doi: 10.2478/pjmpe-2013-0002.
14. Stanowisko Sekcji Fizyki przy Polskim Towarzystwie Medycyny Nuklearnej w sprawie zalecanych rodzajów, sposobu przeprowadzania oraz częstości procedur kontrolnych aparatury używanej przez pracownie medycyny nuklearnej: http://www.ptmn.pl/sekcjafizyk/testy_20062013.pdf
15.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2026-06-02T15:27:56+02:00</dcterms:created>
  <dcterms:modified xsi:type="dcterms:W3CDTF">2026-06-02T15:27:56+02:00</dcterms:modified>
</cp:coreProperties>
</file>

<file path=docProps/custom.xml><?xml version="1.0" encoding="utf-8"?>
<Properties xmlns="http://schemas.openxmlformats.org/officeDocument/2006/custom-properties" xmlns:vt="http://schemas.openxmlformats.org/officeDocument/2006/docPropsVTypes"/>
</file>