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of Structures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- Wykład: 15godz.
- Ćwiczenia: 30 godz.
- Konsultacje – 2 godz.
2) Praca własna – 55 godz., w tym:
- Przygotowanie do egzaminu: 20 godz.
- Przygotowanie do kolokwiów: 20 godz.
- Przygotowanie do ćwiczeń: 15 godz.
Razem: 102 godz.(4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
- Wykład: 15 godz.,
- Ćwiczenia: 30 godz.,
-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74 godz.
- Ćwiczenia: 15 godz.
- Przygotowanie do ćwiczeń: 15 godz.
- Przygotowanie do egzaminu: 20 godz.
- Przygotowanie do kolokwiów: 20 godz.
- Konsultacje – 2 godz.
- Egzamin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na temat materiałów. Analiza stanu odkształcenia oraz naprężenia. Analiza ustrojów prętowych. Wytrzymałość płyt kołowych i powłok osiowo-symetrycznych. Metody energetyczne. Zmęczenie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Roy R. Craig Jr Mechanics of Materials, () , JOHN WILEY &amp; SONS
[2] Hosford, W. F. (2010). Mechanical behavior of materials. Cambridge university press.
[3] Boresi, A. P., Schmidt, R. J., &amp; Sidebottom, O. M. (1993). Advanced mechanics of materials (Vol. 6). New York: Wiley.
[4] Bathe, K. J. (2006). Finite element procedures. Klaus-Jurgen Bathe.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MOS1_W01: </w:t>
      </w:r>
    </w:p>
    <w:p>
      <w:pPr/>
      <w:r>
        <w:rPr/>
        <w:t xml:space="preserve">Ma wiedzę w zakresie wytrzymałości materiałów niezbędną do przeprowadzania obliczeń wytrzymałościowych struktur prętowych, płyt oraz zbiorników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MOS1_U1: </w:t>
      </w:r>
    </w:p>
    <w:p>
      <w:pPr/>
      <w:r>
        <w:rPr/>
        <w:t xml:space="preserve">Potrafi samodzielnie korzystać z literatury w języku angielskim dotyczącej wytrzymałości materiałów, przeprowadzić obliczenia  wytrzymałościowe ram, płyt oraz zbiorników cienkościennych oraz przygotowane wyniki przedstawić w formie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K_U08,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MOS1_K01: </w:t>
      </w:r>
    </w:p>
    <w:p>
      <w:pPr/>
      <w:r>
        <w:rPr/>
        <w:t xml:space="preserve">Student ma świadomość odpowiedzialności wynikającej z przeprowadzania analiz wytrzymałościowych oraz rozumie potrzebę ciągłego podnoszenia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2026-01-08T21:03:21+01:00</dcterms:created>
  <dcterms:modified xsi:type="dcterms:W3CDTF">2026-01-08T21:03:21+01:00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