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Projektem Innowacyjnym</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33h,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podstawowej wiedzy związanej z metodyką zarządzania projektami, ze szczególnym uwzględnieniem projektów komercyjnych innowacyjnych oraz projektów międzynarodowych.</w:t>
      </w:r>
    </w:p>
    <w:p>
      <w:pPr>
        <w:keepNext w:val="1"/>
        <w:spacing w:after="10"/>
      </w:pPr>
      <w:r>
        <w:rPr>
          <w:b/>
          <w:bCs/>
        </w:rPr>
        <w:t xml:space="preserve">Treści kształcenia: </w:t>
      </w:r>
    </w:p>
    <w:p>
      <w:pPr>
        <w:spacing w:before="20" w:after="190"/>
      </w:pPr>
      <w:r>
        <w:rPr/>
        <w:t xml:space="preserve">Wykład:
Cele działalności innowacyjnej. Interesariusze projektu innowacyjnego. Główne bariery we wdrażaniu innowacji. Metody analizy ryzyka w projekcie. Identyfikacja i klasyfikacja zagrożeń.
Programy ramowe UE. Fundusze strukturalne UE. Finansowanie na poziomie narodowym. Adresaci wsparcia przedsięwzięć innowacyjnych.
Wykres Ganita. Analiza buforów czasowych. Ścieżka krytyczna. Analizy metodą Monte Carlo. Sieć Perth. Przydział zasobów. Mapa kompetencji.
Strategia niskich kosztów operacyjnych. Strategia innowacyjnego produktu. Świadomość pro-innowacyjna. Bariery innowacyjności w przedsiębiorstwie.
Płynność finansowa. Efektywność gospodarowania. Wskaźniki ROE i ROA. Kredyty komercyjne i technologiczne. Venture capital. Istota parku technologicznego. Współpraca w parku technologicznym. Inkubatory przedsiębiorczości.
Cele zarządzania strategicznego. Metoda SWOT. Analiza potrzeb. Definiowane misji. Przedsiębiorstwo wobec zmian.
Foresight technologiczny a foresight regionalny. Metoda Delphi. Krzyżowa analiza wpływów. Wykorzystanie metod foresightu w przedsiębiorstwie.
Wybrane zagadnienia praktyczne związane z prawem własności intelektualnej. Bazy patentów. Rola rzecznika patentowego w projekcie innowacyjnym i badanie stanu techniki.
Projekt: 
Opracowanie wybranych elementów wniosku o projekt innowacyjny współfinansowany ze środków publicznych. Projekt obejmuje analizę celów projektu, analizę PEST i SMART oraz wskazanie interesariuszy. Obejmuje także sformułowanie wskaźników rezultatu, atomizację zadań i określenie ich współzależności (wykres Gantta, sieć Perth), analizę ryzyka i identyfikacje kamieni milowych. Ponadto projekt obejmuje samodzielne opracowanie CV eksperta będącego zarówno wykonawcą projektu, jak i potencjalnym ewaluatorem.</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Wysocki, Rudd McGary “Efektywne zarządzanie projektami” Helion, 2005.
2. M. Cohn “Agile. Metodyki zwinne w planowaniu projektów” Helion 2018.    
3. E. Yourdon „Marsz ku klęsce: poradnik dla projektanta systemów“ WNT, 2000.
4. Z. Szyjewski „Metodyki zarządzania projektami informatycznymi” Placet, 2011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ZPI_2st_W01: </w:t>
      </w:r>
    </w:p>
    <w:p>
      <w:pPr/>
      <w:r>
        <w:rPr/>
        <w:t xml:space="preserve">Posiada uporządkowaną wiedzę o organizacji projektu innowacyjnego, w szczególności wskazywania celów, organizacji pracy zespołu oraz zarządzania jakością, monitorowania postępów i ryzyka w projekcie </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ZPI_2st_W02: </w:t>
      </w:r>
    </w:p>
    <w:p>
      <w:pPr/>
      <w:r>
        <w:rPr/>
        <w:t xml:space="preserve">Ma pogłębioną i podbudowaną teoretycznie wiedzę z zakresu podstaw zarzadzania własnością intelektualną, współpracy z rzecznikiem patentowym oraz komercjalizacji wyników prac badawczo-rozwojowych.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ZPI_2st_U01: </w:t>
      </w:r>
    </w:p>
    <w:p>
      <w:pPr/>
      <w:r>
        <w:rPr/>
        <w:t xml:space="preserve">Potrafi zorganizować pracę zespołu projektowego i wykorzystywać sformalizowane narzędzia zarządzania projektem, jak również potrafi identyfikować zagrożenia w projekcie, także związane z prawem własności intelektualnej.</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ZPI_2st_U02: </w:t>
      </w:r>
    </w:p>
    <w:p>
      <w:pPr/>
      <w:r>
        <w:rPr/>
        <w:t xml:space="preserve">Potrafi pozyskiwać wiedze z patentowych baz danych oraz z baz danych wyników projektów współfinansowanych ze środków publicznych</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ZPI_2st_K01: </w:t>
      </w:r>
    </w:p>
    <w:p>
      <w:pPr/>
      <w:r>
        <w:rPr/>
        <w:t xml:space="preserve">Rozumie potrzebę ciągłego samorozwoju w obszarze zarządzania realizowanymi projektami oraz budowania kompetencji w zakresie współpracy w przedsięwzięciach technicznych, jak również zarządzania zespołem projektowym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ZPI_2st_K02: </w:t>
      </w:r>
    </w:p>
    <w:p>
      <w:pPr/>
      <w:r>
        <w:rPr/>
        <w:t xml:space="preserve">Rozumie komercyjne aspekty innowacji, potrafi oszacować rentowność projektu oraz  ocenić związane z nim ryzyko.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2026-01-29T15:30:45+01:00</dcterms:created>
  <dcterms:modified xsi:type="dcterms:W3CDTF">2026-01-29T15:30:45+01:00</dcterms:modified>
</cp:coreProperties>
</file>

<file path=docProps/custom.xml><?xml version="1.0" encoding="utf-8"?>
<Properties xmlns="http://schemas.openxmlformats.org/officeDocument/2006/custom-properties" xmlns:vt="http://schemas.openxmlformats.org/officeDocument/2006/docPropsVTypes"/>
</file>