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Dane, informacja, wiedza.  Jak działa mózg. Organizacja spostrzegania. Podstawy teorii komunikowania się i teorii postrzegania zmysłowego. Komunikacja werbalna i niewerbalna. Prawa Gestalt.  W2 – Barwa. Percepcja barwy. Czynniki wpływające na postrzeganie barw. Atrybuty barwy. Rodzaje barw. Kontrast i harmonia. Oddziaływanie barw. Schematy barw – wybór odpowiednich i efektywnych połączeń. Narzędzia do komponowania barw. Kolor w liternictwie. Zaburzenia widzenia barw. W3 – Wyróżnienia i elementy przyciągające uwagę. Wyróżnienia. Kontrast. Typy kontrastów. Elementy graficzne przyciągające uwagę. Kierowanie wzroku odbiorcy.  W4 – Typografia. Czytelność wizualizacji i jej elementów. Składniowa i semantyczna czytelność tekstu. Typograficzna czytelność tekstu. Podstawowe definicje: czcionka, font, krój pisma. Obiektywne i subiektywne cechy kroju pisma. Typografia komputerowa. W5 – Tabele. Zasady przygotowania tabel. Elementy anatomii tabel. Główka. Boczek. Rubryki. Tytuł. Elementy graficzne tabel. W6 – Wykresy. Skale pomiarowe. Zasady doboru typu wykresów. Zasady przygotowania wykresów różnych typów. Błędy na wykresach. W7 – Prezentacje komputerowe. Korzyści z prezentacji. Zasady planowania prezentacji publicznej. Podział i rola prezentacji multimedialnych. Cechy skutecznej prezentacji. Struktura i kompozycja prezentacji. Szczegółowe zasady przygotowania prezentacji. Aspekty werbalne slajdu. Aspekty graficzne slajdu.</w:t>
      </w:r>
    </w:p>
    <w:p>
      <w:pPr>
        <w:keepNext w:val="1"/>
        <w:spacing w:after="10"/>
      </w:pPr>
      <w:r>
        <w:rPr>
          <w:b/>
          <w:bCs/>
        </w:rPr>
        <w:t xml:space="preserve">Metody oceny: </w:t>
      </w:r>
    </w:p>
    <w:p>
      <w:pPr>
        <w:spacing w:before="20" w:after="190"/>
      </w:pPr>
      <w:r>
        <w:rPr/>
        <w:t xml:space="preserve">Zaliczenie przedmiotu odbywa się na podstawie aktywności w trakcie zajęć wykładowych i przygotowania zadania końcowego. Brak obecności (powyżej 3 h w trakcie semestru) na zajęciach wykładowych skutkuje koniecznością potwierdzenia efektów kształcenia na kolokwium zaliczeniowym. Drugim elementem zaliczenia jest przygotowanie zadania końcowego polegającego na przygotowaniu prezentacji zgodnie z zasadami omówionymi w czasie wykładów.
Ocena końcowa obliczana jest jako średnia ważona: oceny z aktywności podczas zajęć lub kolokwium zaliczeniowego z wagą 0,4 i oceny zadania końcowego z wagą 0,6. Wynik przeliczany jest na wartość procentową s – liczba możliwych punktów do uzyskania.
Oceny: dla s ≥ 91% ocena 5.0, dla 81% ≤ s &lt; 90% ocena 4.5, dla 71% ≤ s &lt; 80% ocena 4.0, dla 61% ≤ s &lt; 70% ocena 3.5, 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2025-12-28T05:29:24+01:00</dcterms:created>
  <dcterms:modified xsi:type="dcterms:W3CDTF">2025-12-28T05:29:24+01:00</dcterms:modified>
</cp:coreProperties>
</file>

<file path=docProps/custom.xml><?xml version="1.0" encoding="utf-8"?>
<Properties xmlns="http://schemas.openxmlformats.org/officeDocument/2006/custom-properties" xmlns:vt="http://schemas.openxmlformats.org/officeDocument/2006/docPropsVTypes"/>
</file>