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PDI2_U01: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I.P6S_UU</w:t>
      </w:r>
    </w:p>
    <w:p>
      <w:pPr>
        <w:keepNext w:val="1"/>
        <w:spacing w:after="10"/>
      </w:pPr>
      <w:r>
        <w:rPr>
          <w:b/>
          <w:bCs/>
        </w:rPr>
        <w:t xml:space="preserve">Charakterystyka PDI2_U02: </w:t>
      </w:r>
    </w:p>
    <w:p>
      <w:pPr/>
      <w:r>
        <w:rPr/>
        <w:t xml:space="preserve">Umiejętność oceny przydatności i wyboru narzędzia do realizacji zadania inżynierskiego z dziedziny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PDI2_U03: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pracowni dyplomowej (lub pracy dyplomowej inżynierskiej)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PDI2_K01: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2026-10-14T01:26:44+02:00</dcterms:created>
  <dcterms:modified xsi:type="dcterms:W3CDTF">2026-10-14T01:26:44+02:00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