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14253-1:2018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ANP_W02: </w:t>
      </w:r>
    </w:p>
    <w:p>
      <w:pPr/>
      <w:r>
        <w:rPr/>
        <w:t xml:space="preserve">Zna procedury szacowania niepewności pomiaru wybranych wielkości mechanicznych i elektrycznych metodami bezpośrednimi 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AWP_W01: </w:t>
      </w:r>
    </w:p>
    <w:p>
      <w:pPr/>
      <w:r>
        <w:rPr/>
        <w:t xml:space="preserve">Zna teoretyczne podstawy wyrażania i wyznaczania niepewności pomiarów realizowanych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ANP_U01: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K_U07, K_U13,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ANP_U02: </w:t>
      </w:r>
    </w:p>
    <w:p>
      <w:pPr/>
      <w:r>
        <w:rPr/>
        <w:t xml:space="preserve">Potrafi analizować budżety niepewności pomiarów i oddziaływać na procedury pomiarowe w celu uzyskania wyników wiarygodnych i użytecznych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ANP_K01: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2024-05-08T18:10:21+02:00</dcterms:created>
  <dcterms:modified xsi:type="dcterms:W3CDTF">2024-05-08T18:10:21+02:00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