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 mgr inż. arch. Michał Gołębiewski / prof. dr hab. inż. Hanna Michalak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J-05KT-Fb </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16</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Materiałoznawstwo (sem. 1), Budownictwo 1 (sem. 2), Budownictwo 2 (sem. 3), Kształ-towanie detalu arch. budowlanego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
</w:t>
      </w:r>
    </w:p>
    <w:p>
      <w:pPr>
        <w:keepNext w:val="1"/>
        <w:spacing w:after="10"/>
      </w:pPr>
      <w:r>
        <w:rPr>
          <w:b/>
          <w:bCs/>
        </w:rPr>
        <w:t xml:space="preserve">Metody oceny: </w:t>
      </w:r>
    </w:p>
    <w:p>
      <w:pPr>
        <w:spacing w:before="20" w:after="190"/>
      </w:pPr>
      <w:r>
        <w:rPr/>
        <w:t xml:space="preserve">Test zaliczeniowy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2025-06-09T14:14:46+02:00</dcterms:created>
  <dcterms:modified xsi:type="dcterms:W3CDTF">2025-06-09T14:14:46+02:00</dcterms:modified>
</cp:coreProperties>
</file>

<file path=docProps/custom.xml><?xml version="1.0" encoding="utf-8"?>
<Properties xmlns="http://schemas.openxmlformats.org/officeDocument/2006/custom-properties" xmlns:vt="http://schemas.openxmlformats.org/officeDocument/2006/docPropsVTypes"/>
</file>