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 mgr inż. arch. Michał Gołębiewski / prof. dr hab. inż. Hanna Michalak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J-05KT-Fb </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16</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Materiałoznawstwo (sem. 1), Budownictwo 1 (sem. 2), Budownictwo 2 (sem. 3), Kształ-towanie detalu arch. budowlanego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
</w:t>
      </w:r>
    </w:p>
    <w:p>
      <w:pPr>
        <w:keepNext w:val="1"/>
        <w:spacing w:after="10"/>
      </w:pPr>
      <w:r>
        <w:rPr>
          <w:b/>
          <w:bCs/>
        </w:rPr>
        <w:t xml:space="preserve">Metody oceny: </w:t>
      </w:r>
    </w:p>
    <w:p>
      <w:pPr>
        <w:spacing w:before="20" w:after="190"/>
      </w:pPr>
      <w:r>
        <w:rPr/>
        <w:t xml:space="preserve">Test zaliczeniowy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2024-05-19T11:46:10+02:00</dcterms:created>
  <dcterms:modified xsi:type="dcterms:W3CDTF">2024-05-19T11:46:10+02:00</dcterms:modified>
</cp:coreProperties>
</file>

<file path=docProps/custom.xml><?xml version="1.0" encoding="utf-8"?>
<Properties xmlns="http://schemas.openxmlformats.org/officeDocument/2006/custom-properties" xmlns:vt="http://schemas.openxmlformats.org/officeDocument/2006/docPropsVTypes"/>
</file>