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biorobotyki</w:t>
      </w:r>
    </w:p>
    <w:p>
      <w:pPr>
        <w:keepNext w:val="1"/>
        <w:spacing w:after="10"/>
      </w:pPr>
      <w:r>
        <w:rPr>
          <w:b/>
          <w:bCs/>
        </w:rPr>
        <w:t xml:space="preserve">Koordynator przedmiotu: </w:t>
      </w:r>
    </w:p>
    <w:p>
      <w:pPr>
        <w:spacing w:before="20" w:after="190"/>
      </w:pPr>
      <w:r>
        <w:rPr/>
        <w:t xml:space="preserve">prof. dr hab. inż. 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wykłady – 15 godz.,
b)	projekty – 15 godz.,
c)	konsultacje – 2 godz.
2.	Praca własna studenta – 28 godzin, w tym:
a) prace domowe w ramach realizacji projektu (obliczenia, analiza materiałów źródłowych) – 20 godz.,
b) przygotowanie się do testu zaliczeniowego – 8 godz.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1,28 punktu ECTS – 32 godziny kontaktowe, w tym:
a)	wykłady – 15 godz.,
b)	projekty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a) udział w zajęciach projektowych – 15 godz.,
b) praca domowa w ramach wykonania  projektu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
2. Znajomość podstawowych metod programowania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
2. Przygotowanie do  syntezy  ruchu robotów z wykorzystaniem wiedzy dotyczącej sposobu ruchu i metod  jego planowania  w układach biologicznych.
3. Przygotowanie do opracowania prezentacji ilustrujących wyniki prac własnych.</w:t>
      </w:r>
    </w:p>
    <w:p>
      <w:pPr>
        <w:keepNext w:val="1"/>
        <w:spacing w:after="10"/>
      </w:pPr>
      <w:r>
        <w:rPr>
          <w:b/>
          <w:bCs/>
        </w:rPr>
        <w:t xml:space="preserve">Treści kształcenia: </w:t>
      </w:r>
    </w:p>
    <w:p>
      <w:pPr>
        <w:spacing w:before="20" w:after="190"/>
      </w:pPr>
      <w:r>
        <w:rPr/>
        <w:t xml:space="preserve">Wykład:
1. Wprowadzenie historyczne.
2. Cechy ruchu i budowa ciała  bezkręgowców.
3. Cechy ruchu i budowa ciała  kręgowców.
4. Podstawowe parametry  chodów.
5. Metody syntezy ruchu robotów wykorzystujące wzorce biologiczne.
6. Autonomia i zdolność adaptacji w świecie zwierzęcym oraz  autonomia działania systemów robotycznych.
Projekt:	
Przegląd robotycznych rozwiązań konstrukcyjnych wzorowanych na  świecie biologicznym.  Wykonanie  syntezy wzorowanego biologicznie ruchu robota albo opracowanie koncepcji projektowej wzorowanej biologicznie  konstrukcji robota  dla wybranego zastosowania (np. eksploracji).</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(projekt):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Skala ocen 51-60% – 3, 61-70% – 3.5, 71-80% – 4, 81-90% – 4.5, 91-100%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 Pfeiffer, T. Zielińska eds. Walking: Biological and Technological Aspects), Springer 2004, ISBN 3-211-22134-4.
2. T. Zielińska, Motion Synthesis (In: F. Pfeiffer, T. Zielińska eds. Walking: Biological and Technological Aspects), Springer 2004, ISBN 3-211-22134-4.
3. T. Zielińska: Maszyny Kroczące: Podstawy, projektowanie, sterowanie i wzorce biologiczne. WNT 2004.
Dodatkowa literatura: według wskazań prowadzącej.</w:t>
      </w:r>
    </w:p>
    <w:p>
      <w:pPr>
        <w:keepNext w:val="1"/>
        <w:spacing w:after="10"/>
      </w:pPr>
      <w:r>
        <w:rPr>
          <w:b/>
          <w:bCs/>
        </w:rPr>
        <w:t xml:space="preserve">Witryna www przedmiotu: </w:t>
      </w:r>
    </w:p>
    <w:p>
      <w:pPr>
        <w:spacing w:before="20" w:after="190"/>
      </w:pPr>
      <w:r>
        <w:rPr/>
        <w:t xml:space="preserve">http://tmr.meil.pw.edu.pl/index.php?/pol/Dydaktyka/Prowadzone-przedmioty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charakterystyki kierunkowe: </w:t>
      </w:r>
      <w:r>
        <w:rPr/>
        <w:t xml:space="preserve">AiR1_W13, AiR1_W14, AiR1_W18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ML.NS683_W2: </w:t>
      </w:r>
    </w:p>
    <w:p>
      <w:pPr/>
      <w:r>
        <w:rPr/>
        <w:t xml:space="preserve">							Zna  inspirowane biologicznie metody syntezy lokomocji.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AiR1_U01, AiR1_U15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2026-05-30T16:33:01+02:00</dcterms:created>
  <dcterms:modified xsi:type="dcterms:W3CDTF">2026-05-30T16:33:01+02:00</dcterms:modified>
</cp:coreProperties>
</file>

<file path=docProps/custom.xml><?xml version="1.0" encoding="utf-8"?>
<Properties xmlns="http://schemas.openxmlformats.org/officeDocument/2006/custom-properties" xmlns:vt="http://schemas.openxmlformats.org/officeDocument/2006/docPropsVTypes"/>
</file>