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projekt: 25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 na ocenę pozytywną projekt ma być wykonany zgodnie ze sztuką wykonywania projektów stacji kolejowych, przedstawioną w pozycji literaturowej nr 1</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Na zaliczeniu ustnym pytania (1/5 wszystkich pytań) dotyczące zagadnień opisanych w efekcie W01. Zaliczenie ma miejsce, gdy student udzieli poprawną odpowiedź</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funkcjonalno-użytecznego projektowania stacji</w:t>
      </w:r>
    </w:p>
    <w:p>
      <w:pPr>
        <w:spacing w:before="60"/>
      </w:pPr>
      <w:r>
        <w:rPr/>
        <w:t xml:space="preserve">Weryfikacja: </w:t>
      </w:r>
    </w:p>
    <w:p>
      <w:pPr>
        <w:spacing w:before="20" w:after="190"/>
      </w:pPr>
      <w:r>
        <w:rPr/>
        <w:t xml:space="preserve">Na zaliczeniu ustnym pytania (1/5 wszystkich pytań) dotyczące zagadnień opisanych w efekcie W02. Zaliczenie ma miejsce, gdy student udzieli poprawnej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zasady konstruowania dróg zwrotnicowych</w:t>
      </w:r>
    </w:p>
    <w:p>
      <w:pPr>
        <w:spacing w:before="60"/>
      </w:pPr>
      <w:r>
        <w:rPr/>
        <w:t xml:space="preserve">Weryfikacja: </w:t>
      </w:r>
    </w:p>
    <w:p>
      <w:pPr>
        <w:spacing w:before="20" w:after="190"/>
      </w:pPr>
      <w:r>
        <w:rPr/>
        <w:t xml:space="preserve">Ćwiczenia projektowe dotyczące efektu W03 – wykonanie dokumentacji projektowej wraz z obliczeniami i zaliczenie ustne</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dotyczące efektu W04 –  wykonanie dokumentacji projektowej wraz z obliczeniami  i zaliczenie ustne</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zasady obliczania przepustowości układów torowych stacji</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Na zaliczeniu ustnym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Tr1A_U03, Tr1A_U24</w:t>
      </w:r>
    </w:p>
    <w:p>
      <w:pPr>
        <w:spacing w:before="20" w:after="190"/>
      </w:pPr>
      <w:r>
        <w:rPr>
          <w:b/>
          <w:bCs/>
        </w:rPr>
        <w:t xml:space="preserve">Powiązane charakterystyki obszarowe: </w:t>
      </w:r>
      <w:r>
        <w:rPr/>
        <w:t xml:space="preserve">I.P6S_UK, 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2024-05-18T06:43:22+02:00</dcterms:created>
  <dcterms:modified xsi:type="dcterms:W3CDTF">2024-05-18T06:43:22+02:00</dcterms:modified>
</cp:coreProperties>
</file>

<file path=docProps/custom.xml><?xml version="1.0" encoding="utf-8"?>
<Properties xmlns="http://schemas.openxmlformats.org/officeDocument/2006/custom-properties" xmlns:vt="http://schemas.openxmlformats.org/officeDocument/2006/docPropsVTypes"/>
</file>