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laboratoryjnych 9 godz., studiowanie literatury przedmiotu 12 godz., przygotowanie się do kolokwiów z ćwiczeń laboratoryjnych 12 godz., samodzielne wykonanie sprawozdań z ćwiczeń laboratoryjnych 15 godz., konsultacje 3 godz. (w tym konsultacje w zakresie zajęć laboratoryjnych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ETCS (20 godzin, w tym: praca na  wykładach 9 godz., praca na  ćwiczeniach laboratoryjnych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9 godz., przygotowanie się do kolokwiów z ćwiczeń laboratoryjnych 12 godz., samodzielne wykonanie sprawozdań z ćwiczeń laboratoryjnych 15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materiałoznawstwa.</w:t>
      </w:r>
    </w:p>
    <w:p>
      <w:pPr>
        <w:keepNext w:val="1"/>
        <w:spacing w:after="10"/>
      </w:pPr>
      <w:r>
        <w:rPr>
          <w:b/>
          <w:bCs/>
        </w:rPr>
        <w:t xml:space="preserve">Limit liczby studentów: </w:t>
      </w:r>
    </w:p>
    <w:p>
      <w:pPr>
        <w:spacing w:before="20" w:after="190"/>
      </w:pPr>
      <w:r>
        <w:rPr/>
        <w:t xml:space="preserve">wykład: 160; ćwicz. lab. do 12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Warunkiem zaliczenia przedmiotu jest odrobienie i zaliczenie wszystkich ćwiczeń laboratoryjnych oraz wykładu. Ocena zintegrowana składa się z trzech elementów:
-zaliczenie zagadnień teoretycznych przedstawianych na wykładzie - kolokwium wykładowe lub pisemny test sprawdzający,
 - wykonanie i zaliczenie sprawozdań z wykonanych ćwiczeń laboratoryjnych,
 - zaliczenie sprawdzianów z tematyki trzech ćwiczeń laboratoryjnych( (w formie kolokwium lub pisemnego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Tr1A_U23,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Tr1A_U23, Tr1A_U25</w:t>
      </w:r>
    </w:p>
    <w:p>
      <w:pPr>
        <w:spacing w:before="20" w:after="190"/>
      </w:pPr>
      <w:r>
        <w:rPr>
          <w:b/>
          <w:bCs/>
        </w:rPr>
        <w:t xml:space="preserve">Powiązane charakterystyki obszarowe: </w:t>
      </w:r>
      <w:r>
        <w:rPr/>
        <w:t xml:space="preserve">III.P6S_UW.4.o,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2026-10-10T13:12:10+02:00</dcterms:created>
  <dcterms:modified xsi:type="dcterms:W3CDTF">2026-10-10T13:12:10+02:00</dcterms:modified>
</cp:coreProperties>
</file>

<file path=docProps/custom.xml><?xml version="1.0" encoding="utf-8"?>
<Properties xmlns="http://schemas.openxmlformats.org/officeDocument/2006/custom-properties" xmlns:vt="http://schemas.openxmlformats.org/officeDocument/2006/docPropsVTypes"/>
</file>