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Lektorzy, zatrudnieni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TR.NIK328</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Poziom B1 znajomości języka obcego według ESOKJ.
Poziom B1.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charakterystyki kierunkowe: </w:t>
      </w:r>
      <w:r>
        <w:rPr/>
        <w:t xml:space="preserve">Tr1A_U07, 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Posiada umiejętność pracy w grupie, dostosowania rejestru wypowiedzi do różnych sytuacji (np. na gruncie towarzyskim i oficjalnym), prowadzenia rozmowy i dyskusji. 	</w:t>
      </w:r>
    </w:p>
    <w:p>
      <w:pPr>
        <w:spacing w:before="60"/>
      </w:pPr>
      <w:r>
        <w:rPr/>
        <w:t xml:space="preserve">Weryfikacja: </w:t>
      </w:r>
    </w:p>
    <w:p>
      <w:pPr>
        <w:spacing w:before="20" w:after="190"/>
      </w:pPr>
      <w:r>
        <w:rPr/>
        <w:t xml:space="preserve">Ocena pracy na zajęciach.</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2024-05-18T20:28:48+02:00</dcterms:created>
  <dcterms:modified xsi:type="dcterms:W3CDTF">2024-05-18T20:28:48+02:00</dcterms:modified>
</cp:coreProperties>
</file>

<file path=docProps/custom.xml><?xml version="1.0" encoding="utf-8"?>
<Properties xmlns="http://schemas.openxmlformats.org/officeDocument/2006/custom-properties" xmlns:vt="http://schemas.openxmlformats.org/officeDocument/2006/docPropsVTypes"/>
</file>